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As filed with the Securities and Exchange Commission on August 11, 2026 </w:t>
      </w:r>
    </w:p>
    <w:p>
      <w:pPr>
        <w:pStyle w:val="TextBody"/>
        <w:bidi w:val="0"/>
        <w:spacing w:lineRule="auto" w:line="312" w:before="0" w:after="0"/>
        <w:jc w:val="right"/>
        <w:rPr>
          <w:rFonts w:ascii="Times New Roman;serif" w:hAnsi="Times New Roman;serif"/>
          <w:b/>
          <w:color w:val="000000"/>
          <w:sz w:val="16"/>
        </w:rPr>
      </w:pPr>
      <w:r>
        <w:rPr>
          <w:rFonts w:ascii="Times New Roman;serif" w:hAnsi="Times New Roman;serif"/>
          <w:b/>
          <w:color w:val="000000"/>
          <w:sz w:val="16"/>
        </w:rPr>
        <w:t xml:space="preserve">Registration No. 333- </w:t>
      </w:r>
    </w:p>
    <w:p>
      <w:pPr>
        <w:pStyle w:val="TextBody"/>
        <w:bidi w:val="0"/>
        <w:spacing w:lineRule="auto" w:line="386" w:before="0" w:after="0"/>
        <w:jc w:val="center"/>
        <w:rPr>
          <w:rFonts w:ascii="Times New Roman;serif" w:hAnsi="Times New Roman;serif"/>
          <w:b/>
          <w:color w:val="181717"/>
          <w:sz w:val="16"/>
        </w:rPr>
      </w:pPr>
      <w:r>
        <w:rPr>
          <w:rFonts w:ascii="Times New Roman;serif" w:hAnsi="Times New Roman;serif"/>
          <w:b/>
          <w:color w:val="181717"/>
          <w:sz w:val="16"/>
        </w:rPr>
        <w:t>___________________________</w:t>
      </w:r>
    </w:p>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386" w:before="0" w:after="0"/>
        <w:jc w:val="center"/>
        <w:rPr>
          <w:rFonts w:ascii="Times New Roman;serif" w:hAnsi="Times New Roman;serif"/>
          <w:b/>
          <w:color w:val="181717"/>
          <w:sz w:val="16"/>
        </w:rPr>
      </w:pPr>
      <w:r>
        <w:rPr>
          <w:rFonts w:ascii="Times New Roman;serif" w:hAnsi="Times New Roman;serif"/>
          <w:b/>
          <w:color w:val="181717"/>
          <w:sz w:val="16"/>
        </w:rPr>
        <w:t>___________________________</w:t>
      </w:r>
    </w:p>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lineRule="auto" w:line="312" w:before="0" w:after="0"/>
        <w:jc w:val="center"/>
        <w:rPr>
          <w:rFonts w:ascii="Times New Roman;serif" w:hAnsi="Times New Roman;serif"/>
          <w:b/>
          <w:color w:val="000000"/>
          <w:sz w:val="28"/>
        </w:rPr>
      </w:pPr>
      <w:r>
        <w:rPr>
          <w:rFonts w:ascii="Times New Roman;serif" w:hAnsi="Times New Roman;serif"/>
          <w:b/>
          <w:color w:val="000000"/>
          <w:sz w:val="28"/>
        </w:rPr>
        <w:t xml:space="preserve">REGISTRATION STATEMENT </w:t>
      </w:r>
    </w:p>
    <w:p>
      <w:pPr>
        <w:pStyle w:val="TextBody"/>
        <w:bidi w:val="0"/>
        <w:spacing w:lineRule="auto" w:line="312"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312" w:before="0" w:after="0"/>
        <w:jc w:val="center"/>
        <w:rPr>
          <w:rFonts w:ascii="Times New Roman;serif" w:hAnsi="Times New Roman;serif"/>
          <w:b/>
          <w:i/>
          <w:color w:val="000000"/>
          <w:sz w:val="20"/>
        </w:rPr>
      </w:pPr>
      <w:r>
        <w:rPr>
          <w:rFonts w:ascii="Times New Roman;serif" w:hAnsi="Times New Roman;serif"/>
          <w:b/>
          <w:i/>
          <w:color w:val="000000"/>
          <w:sz w:val="20"/>
        </w:rPr>
        <w:t xml:space="preserve">the Securities Act of 1933 </w:t>
      </w:r>
    </w:p>
    <w:p>
      <w:pPr>
        <w:pStyle w:val="TextBody"/>
        <w:bidi w:val="0"/>
        <w:spacing w:lineRule="auto" w:line="386" w:before="0" w:after="0"/>
        <w:jc w:val="center"/>
        <w:rPr>
          <w:rFonts w:ascii="Times New Roman;serif" w:hAnsi="Times New Roman;serif"/>
          <w:b/>
          <w:color w:val="181717"/>
          <w:sz w:val="16"/>
        </w:rPr>
      </w:pPr>
      <w:r>
        <w:rPr>
          <w:rFonts w:ascii="Times New Roman;serif" w:hAnsi="Times New Roman;serif"/>
          <w:b/>
          <w:color w:val="181717"/>
          <w:sz w:val="16"/>
        </w:rPr>
        <w:t>___________________________</w:t>
      </w:r>
    </w:p>
    <w:p>
      <w:pPr>
        <w:pStyle w:val="TextBody"/>
        <w:bidi w:val="0"/>
        <w:spacing w:lineRule="auto" w:line="312" w:before="0" w:after="0"/>
        <w:jc w:val="center"/>
        <w:rPr>
          <w:rFonts w:ascii="Times New Roman;serif" w:hAnsi="Times New Roman;serif"/>
          <w:b/>
          <w:color w:val="000000"/>
          <w:sz w:val="40"/>
        </w:rPr>
      </w:pPr>
      <w:r>
        <w:rPr>
          <w:rFonts w:ascii="Times New Roman;serif" w:hAnsi="Times New Roman;serif"/>
          <w:b/>
          <w:color w:val="000000"/>
          <w:sz w:val="40"/>
        </w:rPr>
        <w:t xml:space="preserve">BICARA THERAPEUTICS INC. </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before="0" w:after="0"/>
        <w:jc w:val="left"/>
        <w:rPr/>
      </w:pPr>
      <w:r>
        <w:rPr/>
      </w:r>
    </w:p>
    <w:tbl>
      <w:tblPr>
        <w:tblW w:w="3116" w:type="dxa"/>
        <w:jc w:val="left"/>
        <w:tblInd w:w="0" w:type="dxa"/>
        <w:tblLayout w:type="fixed"/>
        <w:tblCellMar>
          <w:top w:w="28" w:type="dxa"/>
          <w:left w:w="28" w:type="dxa"/>
          <w:bottom w:w="28" w:type="dxa"/>
          <w:right w:w="28" w:type="dxa"/>
        </w:tblCellMar>
      </w:tblPr>
      <w:tblGrid>
        <w:gridCol w:w="613"/>
        <w:gridCol w:w="537"/>
        <w:gridCol w:w="544"/>
        <w:gridCol w:w="109"/>
        <w:gridCol w:w="109"/>
        <w:gridCol w:w="109"/>
        <w:gridCol w:w="320"/>
        <w:gridCol w:w="320"/>
        <w:gridCol w:w="455"/>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16"/>
              </w:rPr>
            </w:pPr>
            <w:r>
              <w:rPr>
                <w:rFonts w:ascii="Times New Roman;serif" w:hAnsi="Times New Roman;serif"/>
                <w:b/>
                <w:color w:val="000000"/>
                <w:sz w:val="16"/>
              </w:rPr>
              <w:t>83-2903745</w:t>
            </w:r>
          </w:p>
        </w:tc>
      </w:tr>
      <w:tr>
        <w:trPr/>
        <w:tc>
          <w:tcPr>
            <w:tcW w:w="1694"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color w:val="000000"/>
                <w:sz w:val="12"/>
              </w:rPr>
            </w:pPr>
            <w:r>
              <w:rPr>
                <w:rFonts w:ascii="Times New Roman;serif" w:hAnsi="Times New Roman;serif"/>
                <w:b/>
                <w:color w:val="000000"/>
                <w:sz w:val="12"/>
              </w:rPr>
              <w:t>(State or other jurisdiction of</w:t>
            </w:r>
          </w:p>
          <w:p>
            <w:pPr>
              <w:pStyle w:val="TableContents"/>
              <w:bidi w:val="0"/>
              <w:spacing w:lineRule="auto" w:line="312" w:before="0" w:after="30"/>
              <w:jc w:val="center"/>
              <w:rPr>
                <w:rFonts w:ascii="Times New Roman;serif" w:hAnsi="Times New Roman;serif"/>
                <w:b/>
                <w:color w:val="000000"/>
                <w:sz w:val="12"/>
              </w:rPr>
            </w:pPr>
            <w:r>
              <w:rPr>
                <w:rFonts w:ascii="Times New Roman;serif" w:hAnsi="Times New Roman;serif"/>
                <w:b/>
                <w:color w:val="000000"/>
                <w:sz w:val="12"/>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color w:val="000000"/>
                <w:sz w:val="12"/>
              </w:rPr>
            </w:pPr>
            <w:r>
              <w:rPr>
                <w:rFonts w:ascii="Times New Roman;serif" w:hAnsi="Times New Roman;serif"/>
                <w:b/>
                <w:color w:val="000000"/>
                <w:sz w:val="12"/>
              </w:rPr>
              <w:t>(I.R.S. Employer</w:t>
            </w:r>
          </w:p>
          <w:p>
            <w:pPr>
              <w:pStyle w:val="TableContents"/>
              <w:bidi w:val="0"/>
              <w:spacing w:lineRule="auto" w:line="312" w:before="0" w:after="30"/>
              <w:jc w:val="center"/>
              <w:rPr>
                <w:rFonts w:ascii="Times New Roman;serif" w:hAnsi="Times New Roman;serif"/>
                <w:b/>
                <w:color w:val="000000"/>
                <w:sz w:val="12"/>
              </w:rPr>
            </w:pPr>
            <w:r>
              <w:rPr>
                <w:rFonts w:ascii="Times New Roman;serif" w:hAnsi="Times New Roman;serif"/>
                <w:b/>
                <w:color w:val="000000"/>
                <w:sz w:val="12"/>
              </w:rPr>
              <w:t>Identification No.)</w:t>
            </w:r>
          </w:p>
        </w:tc>
      </w:tr>
    </w:tbl>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Bicara Therapeutics Inc. </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116 Huntington Ave, Suite 703</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Boston, MA 02116</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(617) 468-4219</w:t>
      </w:r>
    </w:p>
    <w:p>
      <w:pPr>
        <w:pStyle w:val="TextBody"/>
        <w:bidi w:val="0"/>
        <w:spacing w:lineRule="auto" w:line="312" w:before="0" w:after="0"/>
        <w:jc w:val="center"/>
        <w:rPr>
          <w:rFonts w:ascii="Times New Roman;serif" w:hAnsi="Times New Roman;serif"/>
          <w:b/>
          <w:color w:val="000000"/>
          <w:sz w:val="12"/>
        </w:rPr>
      </w:pPr>
      <w:r>
        <w:rPr>
          <w:rFonts w:ascii="Times New Roman;serif" w:hAnsi="Times New Roman;serif"/>
          <w:b/>
          <w:color w:val="000000"/>
          <w:sz w:val="12"/>
        </w:rPr>
        <w:t>(Address, including zip code and telephone number, including area code, of Registrant’s principal executive offices)</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Bicara Therapeutics Inc. 2026 Inducement Plan</w:t>
      </w:r>
    </w:p>
    <w:p>
      <w:pPr>
        <w:pStyle w:val="TextBody"/>
        <w:bidi w:val="0"/>
        <w:spacing w:lineRule="auto" w:line="312" w:before="0" w:after="0"/>
        <w:jc w:val="center"/>
        <w:rPr>
          <w:rFonts w:ascii="Times New Roman;serif" w:hAnsi="Times New Roman;serif"/>
          <w:b/>
          <w:color w:val="000000"/>
          <w:sz w:val="12"/>
        </w:rPr>
      </w:pPr>
      <w:r>
        <w:rPr>
          <w:rFonts w:ascii="Times New Roman;serif" w:hAnsi="Times New Roman;serif"/>
          <w:b/>
          <w:color w:val="000000"/>
          <w:sz w:val="12"/>
        </w:rPr>
        <w:t>(Full title of the plans)</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Claire Mazumdar, Ph.D.</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Chief Executive Officer </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116 Huntington Ave, Suite 703</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Boston, MA 02116 </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(617) 468-4219</w:t>
      </w:r>
    </w:p>
    <w:p>
      <w:pPr>
        <w:pStyle w:val="TextBody"/>
        <w:bidi w:val="0"/>
        <w:spacing w:lineRule="auto" w:line="312" w:before="0" w:after="0"/>
        <w:jc w:val="center"/>
        <w:rPr>
          <w:rFonts w:ascii="Times New Roman;serif" w:hAnsi="Times New Roman;serif"/>
          <w:b/>
          <w:color w:val="000000"/>
          <w:sz w:val="12"/>
        </w:rPr>
      </w:pPr>
      <w:r>
        <w:rPr>
          <w:rFonts w:ascii="Times New Roman;serif" w:hAnsi="Times New Roman;serif"/>
          <w:b/>
          <w:color w:val="000000"/>
          <w:sz w:val="12"/>
        </w:rPr>
        <w:t xml:space="preserve">(Name, address, including zip code, and telephone number, including area code, of agent for service) </w:t>
      </w:r>
    </w:p>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i/>
          <w:color w:val="000000"/>
          <w:sz w:val="16"/>
        </w:rPr>
      </w:pPr>
      <w:r>
        <w:rPr>
          <w:rFonts w:ascii="Times New Roman;serif" w:hAnsi="Times New Roman;serif"/>
          <w:b/>
          <w:i/>
          <w:color w:val="000000"/>
          <w:sz w:val="16"/>
        </w:rPr>
        <w:t>Copies to:</w:t>
      </w:r>
    </w:p>
    <w:tbl>
      <w:tblPr>
        <w:tblW w:w="4784" w:type="dxa"/>
        <w:jc w:val="left"/>
        <w:tblInd w:w="0" w:type="dxa"/>
        <w:tblLayout w:type="fixed"/>
        <w:tblCellMar>
          <w:top w:w="28" w:type="dxa"/>
          <w:left w:w="28" w:type="dxa"/>
          <w:bottom w:w="28" w:type="dxa"/>
          <w:right w:w="28" w:type="dxa"/>
        </w:tblCellMar>
      </w:tblPr>
      <w:tblGrid>
        <w:gridCol w:w="864"/>
        <w:gridCol w:w="760"/>
        <w:gridCol w:w="761"/>
        <w:gridCol w:w="702"/>
        <w:gridCol w:w="702"/>
        <w:gridCol w:w="99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Kingsley L. Taft, Esq.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Gabriela Morales-Rivera, Esq.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Goodwin Procter LLP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100 Northern Avenue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Boston, MA 02210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(617) 570-1000</w:t>
            </w:r>
          </w:p>
        </w:tc>
        <w:tc>
          <w:tcPr>
            <w:tcW w:w="239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David DesRosier, Esq.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Vice President, Legal</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116 Huntington Ave, Suite 703</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 xml:space="preserve">Boston, MA 02116 </w:t>
            </w:r>
          </w:p>
          <w:p>
            <w:pPr>
              <w:pStyle w:val="TableContents"/>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(617) 468-4219</w:t>
            </w:r>
          </w:p>
        </w:tc>
      </w:tr>
    </w:tbl>
    <w:p>
      <w:pPr>
        <w:pStyle w:val="TextBody"/>
        <w:bidi w:val="0"/>
        <w:spacing w:before="0" w:after="0"/>
        <w:jc w:val="center"/>
        <w:rPr/>
      </w:pPr>
      <w:r>
        <w:rPr/>
      </w:r>
    </w:p>
    <w:p>
      <w:pPr>
        <w:pStyle w:val="TextBody"/>
        <w:bidi w:val="0"/>
        <w:spacing w:lineRule="auto" w:line="312"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8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53" w:after="3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53" w:after="3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53" w:after="3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53" w:after="3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53" w:after="30"/>
              <w:jc w:val="left"/>
              <w:rPr>
                <w:color w:val="000000"/>
              </w:rPr>
            </w:pPr>
            <w:r>
              <w:rPr>
                <w:color w:val="000000"/>
              </w:rPr>
              <w:t>☒</w:t>
            </w:r>
          </w:p>
        </w:tc>
      </w:tr>
    </w:tbl>
    <w:p>
      <w:pPr>
        <w:pStyle w:val="TextBody"/>
        <w:bidi w:val="0"/>
        <w:spacing w:lineRule="auto" w:line="312"/>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S-8 registers an additional 700,000 shares of common stock, par value $0.0001 per share, of Bicara Therapeutics Inc. (the “Registrant”) to be issued under the Registrant’s 2026 Inducement Plan, as amended (the “Inducement Plan”). The Inducement Plan was originally adopted by the Registrant’s board of directors without stockholder approval pursuant to Rule 5635(c)(4) of the Marketplace Rules of the Nasdaq Stock Market. The additional shares are of the same class as the securities previously registered under the Registrant’s Registration Statement on Form S-8 (File No. 333-294748), filed with the Securities and Exchange Commission on March 30, 2026, relating to the Inducement Plan. The information contained in the Registrant’s Registration Statement on Form S-8 (Registration No. 333-294748) is hereby incorporated by reference pursuant to General Instruction 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before="0" w:after="0"/>
        <w:jc w:val="center"/>
        <w:rPr/>
      </w:pPr>
      <w:r>
        <w:rPr/>
      </w:r>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t xml:space="preserve">Item 8. Exhibits.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exhibits to this Registration Statement are listed in the Exhibit Index attached hereto and incorporated by reference herein.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3"/>
        <w:gridCol w:w="239"/>
        <w:gridCol w:w="242"/>
        <w:gridCol w:w="109"/>
        <w:gridCol w:w="109"/>
        <w:gridCol w:w="109"/>
        <w:gridCol w:w="2662"/>
        <w:gridCol w:w="2662"/>
        <w:gridCol w:w="3800"/>
      </w:tblGrid>
      <w:tr>
        <w:trPr/>
        <w:tc>
          <w:tcPr>
            <w:tcW w:w="2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2">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3">
              <w:r>
                <w:rPr>
                  <w:rStyle w:val="InternetLink"/>
                  <w:rFonts w:ascii="Times New Roman;serif" w:hAnsi="Times New Roman;serif"/>
                  <w:b w:val="false"/>
                  <w:color w:val="0000FF"/>
                  <w:sz w:val="20"/>
                  <w:u w:val="single"/>
                </w:rPr>
                <w:t>Fifth Amended and Restated Certificate of Incorporation of the Registrant (incorporated by reference to Exhibit 3.1 to the Registrant’s Form 8-K (File No. 001-42271) filed on September 16, 2024).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4">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5">
              <w:r>
                <w:rPr>
                  <w:rStyle w:val="InternetLink"/>
                  <w:rFonts w:ascii="Times New Roman;serif" w:hAnsi="Times New Roman;serif"/>
                  <w:b w:val="false"/>
                  <w:color w:val="0000FF"/>
                  <w:sz w:val="20"/>
                  <w:u w:val="single"/>
                </w:rPr>
                <w:t>Third Amended and Restated Bylaws of the Registrant (incorporated by reference to Exhibit 3.2 to the Registrant’s Form 8-K (File No. 001-42271) filed on September 16, 2024).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6">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7">
              <w:r>
                <w:rPr>
                  <w:rStyle w:val="InternetLink"/>
                  <w:rFonts w:ascii="Times New Roman;serif" w:hAnsi="Times New Roman;serif"/>
                  <w:b w:val="false"/>
                  <w:color w:val="000080"/>
                  <w:sz w:val="20"/>
                  <w:u w:val="single"/>
                </w:rPr>
                <w:t>Amended and Restated Investors’ Rights Agreement among the Registrant and certain of its stockholders, dated December 6, 2023</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(incorporated by reference to Exhibit 4.2 of the Registrant’s Registration Statement on Form S-1 (File No. 333-281722) filed on August 22, 2024).</w:t>
              </w:r>
            </w:hyperlink>
            <w:r>
              <w:rPr>
                <w:color w:val="000000"/>
              </w:rPr>
              <w:t xml:space="preserve"> </w:t>
            </w:r>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10">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11">
              <w:r>
                <w:rPr>
                  <w:rStyle w:val="InternetLink"/>
                  <w:rFonts w:ascii="Times New Roman;serif" w:hAnsi="Times New Roman;serif"/>
                  <w:b w:val="false"/>
                  <w:color w:val="0000FF"/>
                  <w:sz w:val="20"/>
                  <w:u w:val="single"/>
                </w:rPr>
                <w:t>Specimen Common Stock Certificate (incorporated by reference to Exhibit 4.1 of the Registrant’s Registration Statement on Form S-1/A (File No. 333-281722) filed on September 6, 2024).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Pre-Funded Warrant (incorporated by reference to Exhibit 4.1 of the Registrant’s Current Report on Form 8-K (File No. 001-42271) filed on February 26, 2026).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cara-sx8ex51opinioninduc.htm">
              <w:r>
                <w:rPr>
                  <w:rStyle w:val="InternetLink"/>
                  <w:rFonts w:ascii="Times New Roman;serif" w:hAnsi="Times New Roman;serif"/>
                  <w:b w:val="false"/>
                  <w:color w:val="0000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icara-sx8ex51opinioninduc.htm">
              <w:r>
                <w:rPr>
                  <w:rStyle w:val="InternetLink"/>
                  <w:rFonts w:ascii="Times New Roman;serif" w:hAnsi="Times New Roman;serif"/>
                  <w:b w:val="false"/>
                  <w:color w:val="0000FF"/>
                  <w:sz w:val="20"/>
                  <w:u w:val="single"/>
                </w:rPr>
                <w:t xml:space="preserve">Opinion of Goodwin Procter LLP. </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icara-ex231consentsx8indu.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icara-ex231consentsx8indu.htm">
              <w:r>
                <w:rPr>
                  <w:rStyle w:val="InternetLink"/>
                  <w:rFonts w:ascii="Times New Roman;serif" w:hAnsi="Times New Roman;serif"/>
                  <w:b w:val="false"/>
                  <w:color w:val="0000FF"/>
                  <w:sz w:val="20"/>
                  <w:u w:val="single"/>
                </w:rPr>
                <w:t xml:space="preserve">Consent of KPMG LLP, independent registered public accounting firm. </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icara-sx8ex51opinioninduc.htm">
              <w:r>
                <w:rPr>
                  <w:rStyle w:val="InternetLink"/>
                  <w:rFonts w:ascii="Times New Roman;serif" w:hAnsi="Times New Roman;serif"/>
                  <w:b w:val="false"/>
                  <w:color w:val="0000FF"/>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icara-sx8ex51opinioninduc.htm">
              <w:r>
                <w:rPr>
                  <w:rStyle w:val="InternetLink"/>
                  <w:rFonts w:ascii="Times New Roman;serif" w:hAnsi="Times New Roman;serif"/>
                  <w:b w:val="false"/>
                  <w:color w:val="0000FF"/>
                  <w:sz w:val="20"/>
                  <w:u w:val="single"/>
                </w:rPr>
                <w:t xml:space="preserve">Consent of Goodwin Procter LLP (included in Exhibit 5.1). </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ia646af1182db4dc8b59e3cab44013ba4_7">
              <w:r>
                <w:rPr>
                  <w:rStyle w:val="InternetLink"/>
                  <w:rFonts w:ascii="Times New Roman;serif" w:hAnsi="Times New Roman;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6af1182db4dc8b59e3cab44013ba4_7">
              <w:r>
                <w:rPr>
                  <w:rStyle w:val="InternetLink"/>
                  <w:rFonts w:ascii="Times New Roman;serif" w:hAnsi="Times New Roman;serif"/>
                  <w:b w:val="false"/>
                  <w:color w:val="0000FF"/>
                  <w:sz w:val="20"/>
                  <w:u w:val="single"/>
                </w:rPr>
                <w:t xml:space="preserve">Power of Attorney (included on signature page). </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14">
              <w:r>
                <w:rPr>
                  <w:rStyle w:val="InternetLink"/>
                  <w:rFonts w:ascii="Times New Roman;serif" w:hAnsi="Times New Roman;serif"/>
                  <w:b w:val="false"/>
                  <w:color w:val="000080"/>
                  <w:sz w:val="20"/>
                  <w:u w:val="single"/>
                </w:rPr>
                <w:t>Bicara Therapeutics Inc. 2026 Inducement Plan</w:t>
              </w:r>
            </w:hyperlink>
            <w:hyperlink r:id="rId15">
              <w:r>
                <w:rPr>
                  <w:rStyle w:val="InternetLink"/>
                  <w:rFonts w:ascii="Times New Roman;serif" w:hAnsi="Times New Roman;serif"/>
                  <w:b w:val="false"/>
                  <w:color w:val="000080"/>
                  <w:sz w:val="20"/>
                  <w:u w:val="single"/>
                </w:rPr>
                <w:t>, as amend</w:t>
              </w:r>
            </w:hyperlink>
            <w:hyperlink r:id="rId16">
              <w:r>
                <w:rPr>
                  <w:rStyle w:val="InternetLink"/>
                  <w:rFonts w:ascii="Times New Roman;serif" w:hAnsi="Times New Roman;serif"/>
                  <w:b w:val="false"/>
                  <w:color w:val="000080"/>
                  <w:sz w:val="20"/>
                  <w:u w:val="single"/>
                </w:rPr>
                <w:t>ed,</w:t>
              </w:r>
            </w:hyperlink>
            <w:hyperlink r:id="rId17">
              <w:r>
                <w:rPr>
                  <w:rStyle w:val="InternetLink"/>
                  <w:rFonts w:ascii="Times New Roman;serif" w:hAnsi="Times New Roman;serif"/>
                  <w:b w:val="false"/>
                  <w:color w:val="000080"/>
                  <w:sz w:val="20"/>
                  <w:u w:val="single"/>
                </w:rPr>
                <w:t xml:space="preserve"> and form of award agreements thereunder (incorporated by reference to Exhibit 10.1</w:t>
              </w:r>
            </w:hyperlink>
            <w:hyperlink r:id="rId18">
              <w:r>
                <w:rPr>
                  <w:rStyle w:val="InternetLink"/>
                  <w:rFonts w:ascii="Times New Roman;serif" w:hAnsi="Times New Roman;serif"/>
                  <w:b w:val="false"/>
                  <w:color w:val="000080"/>
                  <w:sz w:val="20"/>
                  <w:u w:val="single"/>
                </w:rPr>
                <w:t xml:space="preserve"> to the Registrant’s </w:t>
              </w:r>
            </w:hyperlink>
            <w:hyperlink r:id="rId19">
              <w:r>
                <w:rPr>
                  <w:rStyle w:val="InternetLink"/>
                  <w:rFonts w:ascii="Times New Roman;serif" w:hAnsi="Times New Roman;serif"/>
                  <w:b w:val="false"/>
                  <w:color w:val="000080"/>
                  <w:sz w:val="20"/>
                  <w:u w:val="single"/>
                </w:rPr>
                <w:t>Quar</w:t>
              </w:r>
            </w:hyperlink>
            <w:hyperlink r:id="rId20">
              <w:r>
                <w:rPr>
                  <w:rStyle w:val="InternetLink"/>
                  <w:rFonts w:ascii="Times New Roman;serif" w:hAnsi="Times New Roman;serif"/>
                  <w:b w:val="false"/>
                  <w:color w:val="000080"/>
                  <w:sz w:val="20"/>
                  <w:u w:val="single"/>
                </w:rPr>
                <w:t>terly</w:t>
              </w:r>
            </w:hyperlink>
            <w:hyperlink r:id="rId21">
              <w:r>
                <w:rPr>
                  <w:rStyle w:val="InternetLink"/>
                  <w:rFonts w:ascii="Times New Roman;serif" w:hAnsi="Times New Roman;serif"/>
                  <w:b w:val="false"/>
                  <w:color w:val="000080"/>
                  <w:sz w:val="20"/>
                  <w:u w:val="single"/>
                </w:rPr>
                <w:t xml:space="preserve"> Report on Form 10-</w:t>
              </w:r>
            </w:hyperlink>
            <w:hyperlink r:id="rId22">
              <w:r>
                <w:rPr>
                  <w:rStyle w:val="InternetLink"/>
                  <w:rFonts w:ascii="Times New Roman;serif" w:hAnsi="Times New Roman;serif"/>
                  <w:b w:val="false"/>
                  <w:color w:val="000080"/>
                  <w:sz w:val="20"/>
                  <w:u w:val="single"/>
                </w:rPr>
                <w:t>Q</w:t>
              </w:r>
            </w:hyperlink>
            <w:hyperlink r:id="rId23">
              <w:r>
                <w:rPr>
                  <w:rStyle w:val="InternetLink"/>
                  <w:rFonts w:ascii="Times New Roman;serif" w:hAnsi="Times New Roman;serif"/>
                  <w:b w:val="false"/>
                  <w:color w:val="000080"/>
                  <w:sz w:val="20"/>
                  <w:u w:val="single"/>
                </w:rPr>
                <w:t xml:space="preserve"> (File No. 001-42271) filed on </w:t>
              </w:r>
            </w:hyperlink>
            <w:hyperlink r:id="rId24">
              <w:r>
                <w:rPr>
                  <w:rStyle w:val="InternetLink"/>
                  <w:rFonts w:ascii="Times New Roman;serif" w:hAnsi="Times New Roman;serif"/>
                  <w:b w:val="false"/>
                  <w:color w:val="000080"/>
                  <w:sz w:val="20"/>
                  <w:u w:val="single"/>
                </w:rPr>
                <w:t xml:space="preserve">August </w:t>
              </w:r>
            </w:hyperlink>
            <w:hyperlink r:id="rId25">
              <w:r>
                <w:rPr>
                  <w:rStyle w:val="InternetLink"/>
                  <w:rFonts w:ascii="Times New Roman;serif" w:hAnsi="Times New Roman;serif"/>
                  <w:b w:val="false"/>
                  <w:color w:val="000080"/>
                  <w:sz w:val="20"/>
                  <w:u w:val="single"/>
                </w:rPr>
                <w:t>11</w:t>
              </w:r>
            </w:hyperlink>
            <w:hyperlink r:id="rId26">
              <w:r>
                <w:rPr>
                  <w:rStyle w:val="InternetLink"/>
                  <w:rFonts w:ascii="Times New Roman;serif" w:hAnsi="Times New Roman;serif"/>
                  <w:b w:val="false"/>
                  <w:color w:val="000080"/>
                  <w:sz w:val="20"/>
                  <w:u w:val="single"/>
                </w:rPr>
                <w:t>, 2026).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filingfees.htm">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filingfees.htm">
              <w:r>
                <w:rPr>
                  <w:rStyle w:val="InternetLink"/>
                  <w:rFonts w:ascii="Times New Roman;serif" w:hAnsi="Times New Roman;serif"/>
                  <w:b w:val="false"/>
                  <w:color w:val="0000FF"/>
                  <w:sz w:val="20"/>
                  <w:u w:val="single"/>
                </w:rPr>
                <w:t xml:space="preserve">Filing Fee Table. </w:t>
              </w:r>
            </w:hyperlink>
          </w:p>
        </w:tc>
      </w:tr>
    </w:tbl>
    <w:p>
      <w:pPr>
        <w:pStyle w:val="TextBody"/>
        <w:bidi w:val="0"/>
        <w:spacing w:before="0" w:after="0"/>
        <w:jc w:val="left"/>
        <w:rPr/>
      </w:pPr>
      <w:r>
        <w:rPr/>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State of Massachusetts, on this 11th day of August, 2026. </w:t>
      </w:r>
    </w:p>
    <w:tbl>
      <w:tblPr>
        <w:tblW w:w="6350" w:type="dxa"/>
        <w:jc w:val="left"/>
        <w:tblInd w:w="0" w:type="dxa"/>
        <w:tblLayout w:type="fixed"/>
        <w:tblCellMar>
          <w:top w:w="28" w:type="dxa"/>
          <w:left w:w="28" w:type="dxa"/>
          <w:bottom w:w="28" w:type="dxa"/>
          <w:right w:w="28" w:type="dxa"/>
        </w:tblCellMar>
      </w:tblPr>
      <w:tblGrid>
        <w:gridCol w:w="124"/>
        <w:gridCol w:w="109"/>
        <w:gridCol w:w="109"/>
        <w:gridCol w:w="453"/>
        <w:gridCol w:w="453"/>
        <w:gridCol w:w="453"/>
        <w:gridCol w:w="1361"/>
        <w:gridCol w:w="1361"/>
        <w:gridCol w:w="1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6008" w:type="dxa"/>
            <w:gridSpan w:val="6"/>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color w:val="000000"/>
                <w:sz w:val="20"/>
              </w:rPr>
            </w:pPr>
            <w:r>
              <w:rPr>
                <w:rFonts w:ascii="Times New Roman;serif" w:hAnsi="Times New Roman;serif"/>
                <w:b/>
                <w:color w:val="000000"/>
                <w:sz w:val="20"/>
              </w:rPr>
              <w:t>BICARA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49" w:type="dxa"/>
            <w:gridSpan w:val="3"/>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/s/ Claire Mazumdar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283"/>
              <w:jc w:val="left"/>
              <w:rPr>
                <w:rFonts w:ascii="Times New Roman;serif" w:hAnsi="Times New Roman;serif"/>
                <w:b w:val="false"/>
                <w:color w:val="000000"/>
                <w:sz w:val="20"/>
              </w:rPr>
            </w:pPr>
            <w:r>
              <w:rPr>
                <w:rFonts w:ascii="Times New Roman;serif" w:hAnsi="Times New Roman;serif"/>
                <w:b w:val="false"/>
                <w:color w:val="000000"/>
                <w:sz w:val="20"/>
              </w:rPr>
              <w:t>Name: Claire Mazumdar, Ph.D.</w:t>
            </w:r>
          </w:p>
          <w:p>
            <w:pPr>
              <w:pStyle w:val="TableContents"/>
              <w:bidi w:val="0"/>
              <w:spacing w:lineRule="auto" w:line="312" w:before="0" w:after="30"/>
              <w:jc w:val="left"/>
              <w:rPr/>
            </w:pPr>
            <w:r>
              <w:rPr>
                <w:rFonts w:ascii="Times New Roman;serif" w:hAnsi="Times New Roman;serif"/>
                <w:b w:val="false"/>
                <w:color w:val="000000"/>
                <w:sz w:val="20"/>
              </w:rPr>
              <w:t xml:space="preserve">Title: Chief Executive Officer </w:t>
            </w:r>
            <w:r>
              <w:rPr>
                <w:rFonts w:ascii="Times New Roman;serif" w:hAnsi="Times New Roman;serif"/>
                <w:b w:val="false"/>
                <w:color w:val="000000"/>
                <w:sz w:val="18"/>
              </w:rPr>
              <w:t>(Principal Executive Officer)</w:t>
            </w:r>
          </w:p>
        </w:tc>
      </w:tr>
    </w:tbl>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POWER OF ATTORNEY AND SIGNATURES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KNOW ALL BY THESE PRESENT, that each individual whose signature appears below hereby constitutes and appoints each of Claire Mazumdar, Ph.D. and Ryan Cohlhepp, Pharm.D.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this Registration Statement has been signed by the following person in the capacities and on the date indicated.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48"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2010"/>
        <w:gridCol w:w="2010"/>
        <w:gridCol w:w="2040"/>
        <w:gridCol w:w="109"/>
        <w:gridCol w:w="109"/>
        <w:gridCol w:w="109"/>
        <w:gridCol w:w="393"/>
        <w:gridCol w:w="393"/>
        <w:gridCol w:w="56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Claire Mazumdar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Mazumdar,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Ivan Hyep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Ivan Hyep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 &amp;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Ryan Cohlhepp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Ryan Cohlhepp, Pharm.D.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Powell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Powell,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 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Jeremy Bender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Jeremy Bender,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Christopher Bowden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Christopher Bowden,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Kate Haviland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Kate Haviland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Carolyn 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Carolyn 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Christy Oliger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Christy Oliger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Scott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Scott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Jake Simson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11,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Jake Simson,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Bicara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9" w:type="dxa"/>
        <w:jc w:val="left"/>
        <w:tblInd w:w="0" w:type="dxa"/>
        <w:tblLayout w:type="fixed"/>
        <w:tblCellMar>
          <w:top w:w="28" w:type="dxa"/>
          <w:left w:w="28" w:type="dxa"/>
          <w:bottom w:w="28" w:type="dxa"/>
          <w:right w:w="28" w:type="dxa"/>
        </w:tblCellMar>
      </w:tblPr>
      <w:tblGrid>
        <w:gridCol w:w="241"/>
        <w:gridCol w:w="946"/>
        <w:gridCol w:w="121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2026 Inducement Plan, 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700,000 </w:t>
            </w:r>
          </w:p>
        </w:tc>
        <w:tc>
          <w:tcPr>
            <w:tcW w:w="1156" w:type="dxa"/>
            <w:tcBorders/>
            <w:shd w:fill="E7E7E2" w:val="clear"/>
            <w:vAlign w:val="center"/>
          </w:tcPr>
          <w:p>
            <w:pPr>
              <w:pStyle w:val="TableContents"/>
              <w:bidi w:val="0"/>
              <w:spacing w:before="0" w:after="283"/>
              <w:jc w:val="right"/>
              <w:rPr/>
            </w:pPr>
            <w:r>
              <w:rPr/>
              <w:t xml:space="preserve">$ 27.735 </w:t>
            </w:r>
          </w:p>
        </w:tc>
        <w:tc>
          <w:tcPr>
            <w:tcW w:w="1666" w:type="dxa"/>
            <w:tcBorders/>
            <w:shd w:fill="E7E7E2" w:val="clear"/>
            <w:vAlign w:val="center"/>
          </w:tcPr>
          <w:p>
            <w:pPr>
              <w:pStyle w:val="TableContents"/>
              <w:bidi w:val="0"/>
              <w:spacing w:before="0" w:after="283"/>
              <w:jc w:val="right"/>
              <w:rPr/>
            </w:pPr>
            <w:r>
              <w:rPr/>
              <w:t xml:space="preserve">$ 19,414,500.00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$ 2,681.14 </w:t>
            </w:r>
          </w:p>
        </w:tc>
      </w:tr>
      <w:tr>
        <w:trPr/>
        <w:tc>
          <w:tcPr>
            <w:tcW w:w="486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$ 19,414,500.00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$ 2,681.14 </w:t>
            </w:r>
          </w:p>
        </w:tc>
      </w:tr>
      <w:tr>
        <w:trPr/>
        <w:tc>
          <w:tcPr>
            <w:tcW w:w="486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6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 w:name="NetFeeAmt"/>
            <w:bookmarkEnd w:id="7"/>
            <w:r>
              <w:rPr/>
              <w:t xml:space="preserve">$ 2,681.14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the Registrant's common stock, par value $0.0001 per share ("Common Stock"), which become issuable under the Registrant's 2026 Inducement Plan, as amended (the "Inducement Plan") by reason of any stock dividend, stock split, recapitalization, or any other similar transaction effected without the receipt of consideration that results in an increase in the number of our outstanding shares of Common Stock. The proposed maximum offering price per unit and maximum aggregate offering price are estimated solely for the purpose of calculating the registration fee pursuant to Rules 457(c) and 457(h) of the Securities Act, and based on the average of the high and low price per share of the Registrant's Common Stock as reported on the Nasdaq Global Market on August 10, 2026. The amount registered consists of 700,000 shares issuable under the Inducement Plan.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Exhibit 5.1 </w:t>
      </w:r>
    </w:p>
    <w:p>
      <w:pPr>
        <w:pStyle w:val="TextBody"/>
        <w:bidi w:val="0"/>
        <w:spacing w:lineRule="auto" w:line="333" w:before="240" w:after="283"/>
        <w:jc w:val="center"/>
        <w:rPr>
          <w:rFonts w:ascii="Times New Roman;serif" w:hAnsi="Times New Roman;serif"/>
          <w:b w:val="false"/>
          <w:color w:val="000000"/>
          <w:sz w:val="20"/>
        </w:rPr>
      </w:pPr>
      <w:r>
        <w:rPr>
          <w:rFonts w:ascii="Times New Roman;serif" w:hAnsi="Times New Roman;serif"/>
          <w:b w:val="false"/>
          <w:color w:val="000000"/>
          <w:sz w:val="20"/>
        </w:rPr>
        <w:t>August 11, 2026</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Bicara Therapeutics Inc.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116 Huntington Avenue, Suite 703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Boston, Massachusetts 02116 </w:t>
      </w:r>
    </w:p>
    <w:p>
      <w:pPr>
        <w:pStyle w:val="TextBody"/>
        <w:bidi w:val="0"/>
        <w:spacing w:lineRule="auto" w:line="333" w:before="0" w:after="0"/>
        <w:jc w:val="left"/>
        <w:rPr>
          <w:color w:val="000000"/>
        </w:rPr>
      </w:pPr>
      <w:r>
        <w:rPr>
          <w:color w:val="000000"/>
        </w:rPr>
        <w:t> </w:t>
      </w:r>
    </w:p>
    <w:tbl>
      <w:tblPr>
        <w:tblW w:w="6315" w:type="dxa"/>
        <w:jc w:val="left"/>
        <w:tblInd w:w="0" w:type="dxa"/>
        <w:tblLayout w:type="fixed"/>
        <w:tblCellMar>
          <w:top w:w="28" w:type="dxa"/>
          <w:left w:w="28" w:type="dxa"/>
          <w:bottom w:w="28" w:type="dxa"/>
          <w:right w:w="28" w:type="dxa"/>
        </w:tblCellMar>
      </w:tblPr>
      <w:tblGrid>
        <w:gridCol w:w="146"/>
        <w:gridCol w:w="129"/>
        <w:gridCol w:w="130"/>
        <w:gridCol w:w="1728"/>
        <w:gridCol w:w="1728"/>
        <w:gridCol w:w="2454"/>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w:t>
            </w:r>
          </w:p>
        </w:tc>
        <w:tc>
          <w:tcPr>
            <w:tcW w:w="5910" w:type="dxa"/>
            <w:gridSpan w:val="3"/>
            <w:tcBorders/>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val="false"/>
                <w:color w:val="000000"/>
                <w:sz w:val="20"/>
                <w:u w:val="single"/>
              </w:rPr>
              <w:t>Securities Being Registered under Registration Statement on Form S-8</w:t>
            </w:r>
            <w:r>
              <w:rPr>
                <w:color w:val="000000"/>
              </w:rPr>
              <w:t> </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acted as your counsel in connection with your filing of a Registration Statement on Form S-8 (the “Registration Statement”) pursuant to the Securities Act of 1933, as amended (the “Securities Act”), on or about the date hereof relating to 700,000 shares (the “Shares”) of Common Stock, par value $0.0001 per share (“Common Stock”), of Bicara Therapeutics Inc., a Delaware corporation (the “Company”), that may be issued pursuant to the Company’s 2026 Inducement Plan, as amended (the “Plan”). </w:t>
      </w:r>
    </w:p>
    <w:p>
      <w:pPr>
        <w:pStyle w:val="TextBody"/>
        <w:bidi w:val="0"/>
        <w:spacing w:lineRule="auto" w:line="333" w:before="240" w:after="283"/>
        <w:jc w:val="left"/>
        <w:rPr/>
      </w:pPr>
      <w:r>
        <w:rPr>
          <w:rFonts w:ascii="Times New Roman;serif" w:hAnsi="Times New Roman;serif"/>
          <w:b w:val="false"/>
          <w:color w:val="000000"/>
          <w:sz w:val="20"/>
        </w:rPr>
        <w:t>We have reviewed such documents and made such examination of law as we have deemed appropriate to give the opinion set forth below.</w:t>
      </w:r>
      <w:r>
        <w:rPr>
          <w:color w:val="000000"/>
        </w:rPr>
        <w:t> </w:t>
      </w:r>
      <w:r>
        <w:rPr>
          <w:rFonts w:ascii="Times New Roman;serif" w:hAnsi="Times New Roman;serif"/>
          <w:b w:val="false"/>
          <w:color w:val="000000"/>
          <w:sz w:val="20"/>
        </w:rPr>
        <w:t xml:space="preserve">We have relied, without independent verification, on certificates of public officials and, as to matters of fact material to the opinion set forth below, on certificates of officers of the Company.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opinion set forth below is limited to the Delaware General Corporation Law.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foregoing, we are of the opinion that the Shares have been duly authorized and, when delivered against payment therefor in accordance with the terms of the Plan, will be validly issued, fully paid and nonassessable. </w:t>
      </w:r>
    </w:p>
    <w:p>
      <w:pPr>
        <w:pStyle w:val="TextBody"/>
        <w:bidi w:val="0"/>
        <w:spacing w:lineRule="auto" w:line="333" w:before="240" w:after="283"/>
        <w:jc w:val="left"/>
        <w:rPr/>
      </w:pPr>
      <w:r>
        <w:rPr>
          <w:rFonts w:ascii="Times New Roman;serif" w:hAnsi="Times New Roman;serif"/>
          <w:b w:val="false"/>
          <w:color w:val="000000"/>
          <w:sz w:val="20"/>
        </w:rPr>
        <w:t xml:space="preserve">This opinion letter and the opinion it contains shall be interpreted in accordance with the Core Opinion Principles as published in 74 </w:t>
      </w:r>
      <w:r>
        <w:rPr>
          <w:rFonts w:ascii="Times New Roman;serif" w:hAnsi="Times New Roman;serif"/>
          <w:b w:val="false"/>
          <w:i/>
          <w:color w:val="000000"/>
          <w:sz w:val="20"/>
        </w:rPr>
        <w:t>Business Lawyer</w:t>
      </w:r>
      <w:r>
        <w:rPr>
          <w:color w:val="000000"/>
        </w:rPr>
        <w:t xml:space="preserve"> </w:t>
      </w:r>
      <w:r>
        <w:rPr>
          <w:rFonts w:ascii="Times New Roman;serif" w:hAnsi="Times New Roman;serif"/>
          <w:b w:val="false"/>
          <w:color w:val="000000"/>
          <w:sz w:val="20"/>
        </w:rPr>
        <w:t xml:space="preserve">815 (Summer 2019).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inclusion of this opinion as Exhibit 5.1 to the Registration Statement. In giving our consent, we do not admit that we are in the category of persons whose consent is required under Section 7 of the Securities Act or the rules and regulations thereunder.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Very truly yours, </w:t>
      </w:r>
    </w:p>
    <w:p>
      <w:pPr>
        <w:pStyle w:val="TextBody"/>
        <w:bidi w:val="0"/>
        <w:spacing w:lineRule="auto" w:line="333" w:before="240" w:after="283"/>
        <w:jc w:val="left"/>
        <w:rPr/>
      </w:pPr>
      <w:r>
        <w:rPr>
          <w:rFonts w:ascii="Times New Roman;serif" w:hAnsi="Times New Roman;serif"/>
          <w:b w:val="false"/>
          <w:color w:val="000000"/>
          <w:sz w:val="20"/>
        </w:rPr>
        <w:t>/</w:t>
      </w:r>
      <w:r>
        <w:rPr>
          <w:rFonts w:ascii="Times New Roman;serif" w:hAnsi="Times New Roman;serif"/>
          <w:b w:val="false"/>
          <w:color w:val="000000"/>
          <w:sz w:val="17"/>
        </w:rPr>
        <w:t>S</w:t>
      </w:r>
      <w:r>
        <w:rPr>
          <w:rFonts w:ascii="Times New Roman;serif" w:hAnsi="Times New Roman;serif"/>
          <w:b w:val="false"/>
          <w:color w:val="000000"/>
          <w:sz w:val="20"/>
        </w:rPr>
        <w:t>/ G</w:t>
      </w:r>
      <w:r>
        <w:rPr>
          <w:rFonts w:ascii="Times New Roman;serif" w:hAnsi="Times New Roman;serif"/>
          <w:b w:val="false"/>
          <w:color w:val="000000"/>
          <w:sz w:val="17"/>
        </w:rPr>
        <w:t>OODWIN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7"/>
        </w:rPr>
        <w:t>ROCTER</w:t>
      </w:r>
      <w:r>
        <w:rPr>
          <w:color w:val="000000"/>
        </w:rPr>
        <w:t xml:space="preserve"> </w:t>
      </w:r>
      <w:r>
        <w:rPr>
          <w:rFonts w:ascii="Times New Roman;serif" w:hAnsi="Times New Roman;serif"/>
          <w:b w:val="false"/>
          <w:color w:val="000000"/>
          <w:sz w:val="20"/>
        </w:rPr>
        <w:t xml:space="preserve">LLP </w:t>
      </w:r>
    </w:p>
    <w:p>
      <w:pPr>
        <w:pStyle w:val="TextBody"/>
        <w:bidi w:val="0"/>
        <w:spacing w:lineRule="auto" w:line="333" w:before="240" w:after="283"/>
        <w:jc w:val="left"/>
        <w:rPr/>
      </w:pPr>
      <w:r>
        <w:rPr>
          <w:rFonts w:ascii="Times New Roman;serif" w:hAnsi="Times New Roman;serif"/>
          <w:b w:val="false"/>
          <w:color w:val="000000"/>
          <w:sz w:val="20"/>
        </w:rPr>
        <w:t xml:space="preserve">GOODWIN PROCTER </w:t>
      </w:r>
      <w:r>
        <w:rPr>
          <w:rFonts w:ascii="Times New Roman;serif" w:hAnsi="Times New Roman;serif"/>
          <w:b w:val="false"/>
          <w:color w:val="000000"/>
          <w:sz w:val="17"/>
        </w:rPr>
        <w:t>LLP</w:t>
      </w: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23.1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consent to the use of our report dated March 30, 2026, with respect to the consolidated financial statements of Bicara Therapeutics Inc. and subsidiary, incorporated herein by reference.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Boston, Massachusetts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August 11, 2026</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658/000119312524219617/d844648dex31.htm" TargetMode="External"/><Relationship Id="rId3" Type="http://schemas.openxmlformats.org/officeDocument/2006/relationships/hyperlink" Target="https://www.sec.gov/Archives/edgar/data/2023658/000119312524219617/d844648dex31.htm" TargetMode="External"/><Relationship Id="rId4" Type="http://schemas.openxmlformats.org/officeDocument/2006/relationships/hyperlink" Target="https://www.sec.gov/Archives/edgar/data/2023658/000119312524219617/d844648dex32.htm" TargetMode="External"/><Relationship Id="rId5" Type="http://schemas.openxmlformats.org/officeDocument/2006/relationships/hyperlink" Target="https://www.sec.gov/Archives/edgar/data/2023658/000119312524219617/d844648dex32.htm" TargetMode="External"/><Relationship Id="rId6" Type="http://schemas.openxmlformats.org/officeDocument/2006/relationships/hyperlink" Target="https://www.sec.gov/Archives/edgar/data/2023658/000119312524205393/d821336dex42.htm" TargetMode="External"/><Relationship Id="rId7" Type="http://schemas.openxmlformats.org/officeDocument/2006/relationships/hyperlink" Target="https://www.sec.gov/Archives/edgar/data/2023658/000119312524205393/d821336dex42.htm" TargetMode="External"/><Relationship Id="rId8" Type="http://schemas.openxmlformats.org/officeDocument/2006/relationships/hyperlink" Target="https://www.sec.gov/Archives/edgar/data/2023658/000119312524205393/d821336dex42.htm" TargetMode="External"/><Relationship Id="rId9" Type="http://schemas.openxmlformats.org/officeDocument/2006/relationships/hyperlink" Target="https://www.sec.gov/Archives/edgar/data/2023658/000119312524205393/d821336dex42.htm" TargetMode="External"/><Relationship Id="rId10" Type="http://schemas.openxmlformats.org/officeDocument/2006/relationships/hyperlink" Target="https://www.sec.gov/Archives/edgar/data/2023658/000119312524214674/d821336dex41.htm" TargetMode="External"/><Relationship Id="rId11" Type="http://schemas.openxmlformats.org/officeDocument/2006/relationships/hyperlink" Target="https://www.sec.gov/Archives/edgar/data/2023658/000119312524214674/d821336dex41.htm" TargetMode="External"/><Relationship Id="rId12" Type="http://schemas.openxmlformats.org/officeDocument/2006/relationships/hyperlink" Target="https://www.sec.gov/Archives/edgar/data/2023658/000119312526076560/d938194dex41.htm" TargetMode="External"/><Relationship Id="rId13" Type="http://schemas.openxmlformats.org/officeDocument/2006/relationships/hyperlink" Target="https://www.sec.gov/Archives/edgar/data/2023658/000162828026055765/a101bicara-2026inducementp.htm" TargetMode="External"/><Relationship Id="rId14" Type="http://schemas.openxmlformats.org/officeDocument/2006/relationships/hyperlink" Target="https://www.sec.gov/Archives/edgar/data/2023658/000162828026055765/a101bicara-2026inducementp.htm" TargetMode="External"/><Relationship Id="rId15" Type="http://schemas.openxmlformats.org/officeDocument/2006/relationships/hyperlink" Target="https://www.sec.gov/Archives/edgar/data/2023658/000162828026055765/a101bicara-2026inducementp.htm" TargetMode="External"/><Relationship Id="rId16" Type="http://schemas.openxmlformats.org/officeDocument/2006/relationships/hyperlink" Target="https://www.sec.gov/Archives/edgar/data/2023658/000162828026055765/a101bicara-2026inducementp.htm" TargetMode="External"/><Relationship Id="rId17" Type="http://schemas.openxmlformats.org/officeDocument/2006/relationships/hyperlink" Target="https://www.sec.gov/Archives/edgar/data/2023658/000162828026055765/a101bicara-2026inducementp.htm" TargetMode="External"/><Relationship Id="rId18" Type="http://schemas.openxmlformats.org/officeDocument/2006/relationships/hyperlink" Target="https://www.sec.gov/Archives/edgar/data/2023658/000162828026055765/a101bicara-2026inducementp.htm" TargetMode="External"/><Relationship Id="rId19" Type="http://schemas.openxmlformats.org/officeDocument/2006/relationships/hyperlink" Target="https://www.sec.gov/Archives/edgar/data/2023658/000162828026055765/a101bicara-2026inducementp.htm" TargetMode="External"/><Relationship Id="rId20" Type="http://schemas.openxmlformats.org/officeDocument/2006/relationships/hyperlink" Target="https://www.sec.gov/Archives/edgar/data/2023658/000162828026055765/a101bicara-2026inducementp.htm" TargetMode="External"/><Relationship Id="rId21" Type="http://schemas.openxmlformats.org/officeDocument/2006/relationships/hyperlink" Target="https://www.sec.gov/Archives/edgar/data/2023658/000162828026055765/a101bicara-2026inducementp.htm" TargetMode="External"/><Relationship Id="rId22" Type="http://schemas.openxmlformats.org/officeDocument/2006/relationships/hyperlink" Target="https://www.sec.gov/Archives/edgar/data/2023658/000162828026055765/a101bicara-2026inducementp.htm" TargetMode="External"/><Relationship Id="rId23" Type="http://schemas.openxmlformats.org/officeDocument/2006/relationships/hyperlink" Target="https://www.sec.gov/Archives/edgar/data/2023658/000162828026055765/a101bicara-2026inducementp.htm" TargetMode="External"/><Relationship Id="rId24" Type="http://schemas.openxmlformats.org/officeDocument/2006/relationships/hyperlink" Target="https://www.sec.gov/Archives/edgar/data/2023658/000162828026055765/a101bicara-2026inducementp.htm" TargetMode="External"/><Relationship Id="rId25" Type="http://schemas.openxmlformats.org/officeDocument/2006/relationships/hyperlink" Target="https://www.sec.gov/Archives/edgar/data/2023658/000162828026055765/a101bicara-2026inducementp.htm" TargetMode="External"/><Relationship Id="rId26" Type="http://schemas.openxmlformats.org/officeDocument/2006/relationships/hyperlink" Target="https://www.sec.gov/Archives/edgar/data/2023658/000162828026055765/a101bicara-2026inducementp.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1812</Words>
  <Characters>10088</Characters>
  <CharactersWithSpaces>11779</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