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9, 2026</w:t>
      </w:r>
    </w:p>
    <w:p>
      <w:pPr>
        <w:spacing w:after="0" w:line="3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Bicara Therapeutics Inc.</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001-42271</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83-2903745</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116 Huntington Avenue, Suite 703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Boston, MA 02116</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468-4219</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tbl>
      <w:tblPr>
        <w:tblLayout w:type="fixed"/>
        <w:tblInd w:w="62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3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229"/>
        </w:trPr>
        <w:tc>
          <w:tcPr>
            <w:tcW w:w="580" w:type="dxa"/>
            <w:vAlign w:val="bottom"/>
          </w:tcPr>
          <w:p>
            <w:pPr>
              <w:spacing w:after="0"/>
              <w:rPr>
                <w:sz w:val="19"/>
                <w:szCs w:val="19"/>
                <w:color w:val="auto"/>
              </w:rPr>
            </w:pPr>
          </w:p>
        </w:tc>
        <w:tc>
          <w:tcPr>
            <w:tcW w:w="208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6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26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28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BCAX</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211" w:lineRule="exact"/>
        <w:rPr>
          <w:sz w:val="24"/>
          <w:szCs w:val="24"/>
          <w:color w:val="auto"/>
        </w:rPr>
      </w:pPr>
    </w:p>
    <w:p>
      <w:pPr>
        <w:ind w:right="220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rPr>
        <w:t>☒</w:t>
      </w:r>
    </w:p>
    <w:p>
      <w:pPr>
        <w:spacing w:after="0" w:line="5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181717"/>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9, 2026, Bicara Therapeutics Inc. (the “Company”) held its 2026 annual meeting of stockholders (the “Annual Meeting”). The stockholders considered two proposals at the Annual Meeting, each of which is described in more detail in the Company’s definitive proxy statement filed with the Securities and Exchange Commission on April 27, 2026. Of the 65,600,370 shares of the Company’s common stock outstanding as of the record date, 55,924,987 shares, or approximately 85.25%, were present or represented at the Annual Meeting. Set forth below are the final results of the matters submitted for a vote of the stockholders at the Annual Meeting.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stockholders elected each of the following individuals to serve as class II directors for a three-year term ending at the Company’s 2029 annual meeting of stockholders and until his or her successor has been duly elected and qualified, or until his or her earlier death, resignation or removal, with the votes cast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41"/>
        </w:trPr>
        <w:tc>
          <w:tcPr>
            <w:tcW w:w="3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r>
      <w:tr>
        <w:trPr>
          <w:trHeight w:val="277"/>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Bowden, M.D.</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48,558,710</w:t>
            </w:r>
          </w:p>
        </w:tc>
        <w:tc>
          <w:tcPr>
            <w:tcW w:w="8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5,145,418</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2,220,859</w:t>
            </w:r>
          </w:p>
        </w:tc>
      </w:tr>
      <w:tr>
        <w:trPr>
          <w:trHeight w:val="338"/>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Carolyn Ng, Ph.D.</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47,431,269</w:t>
            </w:r>
          </w:p>
        </w:tc>
        <w:tc>
          <w:tcPr>
            <w:tcW w:w="8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6,272,859</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2,220,859</w:t>
            </w: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KPMG LLP</w:t>
      </w:r>
    </w:p>
    <w:p>
      <w:pPr>
        <w:spacing w:after="0" w:line="2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KPMG LLP as the Company’s independent registered public accounting firm for the fiscal year ending December 31, 2026, with the votes cast as follows: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Abstaining</w:t>
            </w:r>
          </w:p>
        </w:tc>
      </w:tr>
      <w:tr>
        <w:trPr>
          <w:trHeight w:val="40"/>
        </w:trPr>
        <w:tc>
          <w:tcPr>
            <w:tcW w:w="4660" w:type="dxa"/>
            <w:vAlign w:val="bottom"/>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r>
      <w:tr>
        <w:trPr>
          <w:trHeight w:val="277"/>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Ratification of appointment of KPMG LLP</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55,914,602</w:t>
            </w:r>
          </w:p>
        </w:tc>
        <w:tc>
          <w:tcPr>
            <w:tcW w:w="100" w:type="dxa"/>
            <w:vAlign w:val="bottom"/>
          </w:tcPr>
          <w:p>
            <w:pPr>
              <w:spacing w:after="0"/>
              <w:rPr>
                <w:sz w:val="24"/>
                <w:szCs w:val="24"/>
                <w:color w:val="auto"/>
              </w:rPr>
            </w:pPr>
          </w:p>
        </w:tc>
        <w:tc>
          <w:tcPr>
            <w:tcW w:w="21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8,815</w:t>
            </w:r>
          </w:p>
        </w:tc>
        <w:tc>
          <w:tcPr>
            <w:tcW w:w="100" w:type="dxa"/>
            <w:vAlign w:val="bottom"/>
          </w:tcPr>
          <w:p>
            <w:pPr>
              <w:spacing w:after="0"/>
              <w:rPr>
                <w:sz w:val="24"/>
                <w:szCs w:val="24"/>
                <w:color w:val="auto"/>
              </w:rPr>
            </w:pPr>
          </w:p>
        </w:tc>
        <w:tc>
          <w:tcPr>
            <w:tcW w:w="21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1,570</w:t>
            </w: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matters were submitted to or voted on by the Company’s stockholders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3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b w:val="1"/>
          <w:bCs w:val="1"/>
          <w:color w:val="auto"/>
        </w:rPr>
        <w:t>Bicara Therapeutics Inc.</w:t>
      </w:r>
    </w:p>
    <w:p>
      <w:pPr>
        <w:spacing w:after="0" w:line="351" w:lineRule="exact"/>
        <w:rPr>
          <w:sz w:val="20"/>
          <w:szCs w:val="20"/>
          <w:color w:val="auto"/>
        </w:rPr>
      </w:pPr>
    </w:p>
    <w:p>
      <w:pPr>
        <w:ind w:left="20"/>
        <w:spacing w:after="0"/>
        <w:tabs>
          <w:tab w:leader="none" w:pos="6140" w:val="left"/>
        </w:tabs>
        <w:rPr>
          <w:sz w:val="20"/>
          <w:szCs w:val="20"/>
          <w:color w:val="auto"/>
        </w:rPr>
      </w:pPr>
      <w:r>
        <w:rPr>
          <w:rFonts w:ascii="Times New Roman" w:cs="Times New Roman" w:eastAsia="Times New Roman" w:hAnsi="Times New Roman"/>
          <w:sz w:val="18"/>
          <w:szCs w:val="18"/>
          <w:color w:val="auto"/>
        </w:rPr>
        <w:t>Date: June 10, 2026</w:t>
      </w:r>
      <w:r>
        <w:rPr>
          <w:sz w:val="20"/>
          <w:szCs w:val="20"/>
          <w:color w:val="auto"/>
        </w:rPr>
        <w:tab/>
      </w:r>
      <w:r>
        <w:rPr>
          <w:rFonts w:ascii="Times New Roman" w:cs="Times New Roman" w:eastAsia="Times New Roman" w:hAnsi="Times New Roman"/>
          <w:sz w:val="18"/>
          <w:szCs w:val="18"/>
          <w:color w:val="auto"/>
        </w:rPr>
        <w:t>By: /s/ Claire Mazumdar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43180</wp:posOffset>
            </wp:positionV>
            <wp:extent cx="29660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70" w:lineRule="exact"/>
        <w:rPr>
          <w:sz w:val="20"/>
          <w:szCs w:val="20"/>
          <w:color w:val="auto"/>
        </w:rPr>
      </w:pPr>
    </w:p>
    <w:p>
      <w:pPr>
        <w:jc w:val="right"/>
        <w:ind w:right="2820"/>
        <w:spacing w:after="0"/>
        <w:rPr>
          <w:sz w:val="20"/>
          <w:szCs w:val="20"/>
          <w:color w:val="auto"/>
        </w:rPr>
      </w:pPr>
      <w:r>
        <w:rPr>
          <w:rFonts w:ascii="Times New Roman" w:cs="Times New Roman" w:eastAsia="Times New Roman" w:hAnsi="Times New Roman"/>
          <w:sz w:val="18"/>
          <w:szCs w:val="18"/>
          <w:color w:val="auto"/>
        </w:rPr>
        <w:t>Name: Claire Mazumdar, Ph.D.</w:t>
      </w:r>
    </w:p>
    <w:p>
      <w:pPr>
        <w:spacing w:after="0" w:line="77" w:lineRule="exact"/>
        <w:rPr>
          <w:sz w:val="20"/>
          <w:szCs w:val="20"/>
          <w:color w:val="auto"/>
        </w:rPr>
      </w:pPr>
    </w:p>
    <w:p>
      <w:pPr>
        <w:jc w:val="right"/>
        <w:ind w:right="2840"/>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1020"/>
      </w:cols>
      <w:pgMar w:left="320" w:top="10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2026-06-10T15:10:28Z</dcterms:created>
  <dcterms:modified xsi:type="dcterms:W3CDTF">2026-06-10T15:10:28Z</dcterms:modified>
</cp:coreProperties>
</file>