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12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181717"/>
          <w:sz w:val="20"/>
        </w:rPr>
      </w:pPr>
      <w:r>
        <w:rPr>
          <w:rFonts w:ascii="Times New Roman;serif" w:hAnsi="Times New Roman;serif"/>
          <w:b/>
          <w:color w:val="181717"/>
          <w:sz w:val="20"/>
        </w:rPr>
        <w:t xml:space="preserve">For the quarterly period ended June 30, 2026 </w:t>
      </w:r>
    </w:p>
    <w:p>
      <w:pPr>
        <w:pStyle w:val="TextBody"/>
        <w:bidi w:val="0"/>
        <w:spacing w:lineRule="auto" w:line="288" w:before="60" w:after="6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181717"/>
          <w:sz w:val="20"/>
        </w:rPr>
      </w:pPr>
      <w:r>
        <w:rPr>
          <w:rFonts w:ascii="Times New Roman;serif" w:hAnsi="Times New Roman;serif"/>
          <w:b/>
          <w:color w:val="181717"/>
          <w:sz w:val="20"/>
        </w:rPr>
        <w:t>For the transition period from ____________ to _______________</w:t>
      </w:r>
    </w:p>
    <w:p>
      <w:pPr>
        <w:pStyle w:val="TextBody"/>
        <w:bidi w:val="0"/>
        <w:spacing w:lineRule="auto" w:line="288" w:before="120" w:after="283"/>
        <w:jc w:val="center"/>
        <w:rPr>
          <w:rFonts w:ascii="Times New Roman;serif" w:hAnsi="Times New Roman;serif"/>
          <w:b/>
          <w:color w:val="181717"/>
          <w:sz w:val="20"/>
        </w:rPr>
      </w:pPr>
      <w:r>
        <w:rPr>
          <w:rFonts w:ascii="Times New Roman;serif" w:hAnsi="Times New Roman;serif"/>
          <w:b/>
          <w:color w:val="181717"/>
          <w:sz w:val="20"/>
        </w:rPr>
        <w:t>Commission file number 001-42271</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BICARA THERAPEUTICS INC.</w:t>
      </w:r>
    </w:p>
    <w:p>
      <w:pPr>
        <w:pStyle w:val="TextBody"/>
        <w:bidi w:val="0"/>
        <w:spacing w:lineRule="auto" w:line="288" w:before="0" w:after="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p>
      <w:pPr>
        <w:pStyle w:val="TextBody"/>
        <w:bidi w:val="0"/>
        <w:spacing w:lineRule="auto" w:line="288" w:before="0" w:after="12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6862" w:type="dxa"/>
        <w:jc w:val="left"/>
        <w:tblInd w:w="0" w:type="dxa"/>
        <w:tblLayout w:type="fixed"/>
        <w:tblCellMar>
          <w:top w:w="28" w:type="dxa"/>
          <w:left w:w="28" w:type="dxa"/>
          <w:bottom w:w="28" w:type="dxa"/>
          <w:right w:w="28" w:type="dxa"/>
        </w:tblCellMar>
      </w:tblPr>
      <w:tblGrid>
        <w:gridCol w:w="1649"/>
        <w:gridCol w:w="1447"/>
        <w:gridCol w:w="1463"/>
        <w:gridCol w:w="109"/>
        <w:gridCol w:w="109"/>
        <w:gridCol w:w="109"/>
        <w:gridCol w:w="109"/>
        <w:gridCol w:w="109"/>
        <w:gridCol w:w="109"/>
        <w:gridCol w:w="481"/>
        <w:gridCol w:w="481"/>
        <w:gridCol w:w="687"/>
      </w:tblGrid>
      <w:tr>
        <w:trPr/>
        <w:tc>
          <w:tcPr>
            <w:tcW w:w="164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83-2903745</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116 Huntington Ave Suite 703 Boston,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02116</w:t>
            </w:r>
          </w:p>
        </w:tc>
      </w:tr>
      <w:tr>
        <w:trPr/>
        <w:tc>
          <w:tcPr>
            <w:tcW w:w="455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181717"/>
          <w:sz w:val="20"/>
        </w:rPr>
      </w:pPr>
      <w:r>
        <w:rPr>
          <w:rFonts w:ascii="Times New Roman;serif" w:hAnsi="Times New Roman;serif"/>
          <w:b/>
          <w:color w:val="181717"/>
          <w:sz w:val="20"/>
        </w:rPr>
        <w:t>617-468-4219</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2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8264" w:type="dxa"/>
        <w:jc w:val="left"/>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BCAX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right"/>
        <w:rPr/>
      </w:pPr>
      <w:r>
        <w:rPr>
          <w:rFonts w:ascii="Times New Roman;serif" w:hAnsi="Times New Roman;serif"/>
          <w:b w:val="false"/>
          <w:color w:val="181717"/>
          <w:sz w:val="20"/>
        </w:rPr>
        <w:t xml:space="preserve">Yes </w:t>
      </w:r>
      <w:r>
        <w:rPr>
          <w:color w:val="000000"/>
        </w:rPr>
        <w:t>☒</w:t>
      </w:r>
      <w:r>
        <w:rPr>
          <w:color w:val="181717"/>
        </w:rPr>
        <w:t>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60" w:after="6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60"/>
        <w:jc w:val="right"/>
        <w:rPr/>
      </w:pPr>
      <w:r>
        <w:rPr>
          <w:rFonts w:ascii="Times New Roman;serif" w:hAnsi="Times New Roman;serif"/>
          <w:b w:val="false"/>
          <w:color w:val="181717"/>
          <w:sz w:val="20"/>
        </w:rPr>
        <w:t xml:space="preserve">Yes </w:t>
      </w:r>
      <w:r>
        <w:rPr>
          <w:color w:val="000000"/>
        </w:rPr>
        <w:t>☒</w:t>
      </w:r>
      <w:r>
        <w:rPr>
          <w:color w:val="181717"/>
        </w:rPr>
        <w:t>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60" w:after="60"/>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p>
        </w:tc>
      </w:tr>
    </w:tbl>
    <w:p>
      <w:pPr>
        <w:pStyle w:val="TextBody"/>
        <w:bidi w:val="0"/>
        <w:spacing w:lineRule="auto" w:line="288" w:before="60" w:after="60"/>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60" w:after="6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60" w:after="6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60" w:after="6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o</w:t>
      </w:r>
      <w:r>
        <w:rPr>
          <w:color w:val="181717"/>
        </w:rPr>
        <w:t>   </w:t>
      </w:r>
      <w:r>
        <w:rPr>
          <w:rFonts w:ascii="Times New Roman;serif" w:hAnsi="Times New Roman;serif"/>
          <w:b w:val="false"/>
          <w:color w:val="181717"/>
          <w:sz w:val="20"/>
        </w:rPr>
        <w:t xml:space="preserve">No </w:t>
      </w:r>
      <w:r>
        <w:rPr>
          <w:color w:val="000000"/>
        </w:rPr>
        <w:t>☒</w:t>
      </w:r>
    </w:p>
    <w:p>
      <w:pPr>
        <w:pStyle w:val="TextBody"/>
        <w:bidi w:val="0"/>
        <w:spacing w:before="60" w:after="60"/>
        <w:jc w:val="center"/>
        <w:rPr/>
      </w:pPr>
      <w:r>
        <w:rPr/>
      </w:r>
    </w:p>
    <w:p>
      <w:pPr>
        <w:pStyle w:val="TextBody"/>
        <w:bidi w:val="0"/>
        <w:spacing w:lineRule="auto" w:line="319" w:before="0" w:after="200"/>
        <w:jc w:val="left"/>
        <w:rPr>
          <w:rFonts w:ascii="Times New Roman;serif" w:hAnsi="Times New Roman;serif"/>
          <w:b w:val="false"/>
          <w:color w:val="181717"/>
          <w:sz w:val="20"/>
        </w:rPr>
      </w:pPr>
      <w:r>
        <w:rPr>
          <w:rFonts w:ascii="Times New Roman;serif" w:hAnsi="Times New Roman;serif"/>
          <w:b w:val="false"/>
          <w:color w:val="181717"/>
          <w:sz w:val="20"/>
        </w:rPr>
        <w:t>As of August 6, 2026, the registrant had 66,172,934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302"/>
        <w:gridCol w:w="265"/>
        <w:gridCol w:w="267"/>
        <w:gridCol w:w="2930"/>
        <w:gridCol w:w="2930"/>
        <w:gridCol w:w="2936"/>
        <w:gridCol w:w="167"/>
        <w:gridCol w:w="167"/>
        <w:gridCol w:w="241"/>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0">
              <w:r>
                <w:rPr>
                  <w:rStyle w:val="InternetLink"/>
                  <w:rFonts w:ascii="Times New Roman;serif" w:hAnsi="Times New Roman;serif"/>
                  <w:b/>
                  <w:strike w:val="false"/>
                  <w:dstrike w:val="false"/>
                  <w:color w:val="000000"/>
                  <w:sz w:val="20"/>
                  <w:u w:val="none"/>
                  <w:effect w:val="none"/>
                </w:rPr>
                <w:t>PART I</w:t>
              </w:r>
            </w:hyperlink>
            <w:r>
              <w:rPr>
                <w:rFonts w:ascii="Times New Roman;serif" w:hAnsi="Times New Roman;serif"/>
                <w:b/>
                <w:color w:val="000000"/>
                <w:sz w:val="20"/>
              </w:rPr>
              <w:t>:</w:t>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0">
              <w:r>
                <w:rPr>
                  <w:rStyle w:val="InternetLink"/>
                  <w:rFonts w:ascii="Times New Roman;serif" w:hAnsi="Times New Roman;serif"/>
                  <w:b w:val="false"/>
                  <w:color w:val="000000"/>
                  <w:sz w:val="20"/>
                  <w:u w:val="single"/>
                </w:rPr>
                <w:t>FINANCIAL INFORMATION</w:t>
              </w:r>
            </w:hyperlink>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hyperlink w:anchor="i6a590bd55d07434385fe398b7507764e_10">
              <w:r>
                <w:rPr>
                  <w:rStyle w:val="InternetLink"/>
                  <w:rFonts w:ascii="Times New Roman;serif" w:hAnsi="Times New Roman;serif"/>
                  <w:b w:val="false"/>
                  <w:color w:val="0000FF"/>
                  <w:sz w:val="20"/>
                  <w:u w:val="single"/>
                </w:rPr>
                <w:t>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
              <w:r>
                <w:rPr>
                  <w:rStyle w:val="InternetLink"/>
                  <w:rFonts w:ascii="Times New Roman;serif" w:hAnsi="Times New Roman;serif"/>
                  <w:b w:val="false"/>
                  <w:strike w:val="false"/>
                  <w:dstrike w:val="false"/>
                  <w:color w:val="000000"/>
                  <w:sz w:val="20"/>
                  <w:u w:val="none"/>
                  <w:effect w:val="none"/>
                </w:rPr>
                <w:t>Item 1.</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
              <w:r>
                <w:rPr>
                  <w:rStyle w:val="InternetLink"/>
                  <w:rFonts w:ascii="Times New Roman;serif" w:hAnsi="Times New Roman;serif"/>
                  <w:b w:val="false"/>
                  <w:color w:val="000000"/>
                  <w:sz w:val="20"/>
                  <w:u w:val="single"/>
                </w:rPr>
                <w:t>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3">
              <w:r>
                <w:rPr>
                  <w:rStyle w:val="InternetLink"/>
                  <w:rFonts w:ascii="Times New Roman;serif" w:hAnsi="Times New Roman;serif"/>
                  <w:b w:val="false"/>
                  <w:color w:val="0000FF"/>
                  <w:sz w:val="20"/>
                  <w:u w:val="single"/>
                </w:rPr>
                <w:t>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6">
              <w:r>
                <w:rPr>
                  <w:rStyle w:val="InternetLink"/>
                  <w:rFonts w:ascii="Times New Roman;serif" w:hAnsi="Times New Roman;serif"/>
                  <w:b w:val="false"/>
                  <w:color w:val="000080"/>
                  <w:sz w:val="20"/>
                  <w:u w:val="single"/>
                </w:rPr>
                <w:t xml:space="preserve">Condensed Consolidated Balance Sheets as of </w:t>
              </w:r>
            </w:hyperlink>
            <w:hyperlink w:anchor="i6a590bd55d07434385fe398b7507764e_16">
              <w:r>
                <w:rPr>
                  <w:rStyle w:val="InternetLink"/>
                  <w:rFonts w:ascii="Times New Roman;serif" w:hAnsi="Times New Roman;serif"/>
                  <w:b w:val="false"/>
                  <w:color w:val="000080"/>
                  <w:sz w:val="20"/>
                  <w:u w:val="single"/>
                </w:rPr>
                <w:t>June 30</w:t>
              </w:r>
            </w:hyperlink>
            <w:hyperlink w:anchor="i6a590bd55d07434385fe398b7507764e_16">
              <w:r>
                <w:rPr>
                  <w:rStyle w:val="InternetLink"/>
                  <w:rFonts w:ascii="Times New Roman;serif" w:hAnsi="Times New Roman;serif"/>
                  <w:b w:val="false"/>
                  <w:color w:val="000080"/>
                  <w:sz w:val="20"/>
                  <w:u w:val="single"/>
                </w:rPr>
                <w:t>, 2026 and December 31, 2025</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6">
              <w:r>
                <w:rPr>
                  <w:rStyle w:val="InternetLink"/>
                  <w:rFonts w:ascii="Times New Roman;serif" w:hAnsi="Times New Roman;serif"/>
                  <w:b w:val="false"/>
                  <w:color w:val="0000FF"/>
                  <w:sz w:val="20"/>
                  <w:u w:val="single"/>
                </w:rPr>
                <w:t>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9">
              <w:r>
                <w:rPr>
                  <w:rStyle w:val="InternetLink"/>
                  <w:rFonts w:ascii="Times New Roman;serif" w:hAnsi="Times New Roman;serif"/>
                  <w:b w:val="false"/>
                  <w:color w:val="000080"/>
                  <w:sz w:val="20"/>
                  <w:u w:val="single"/>
                </w:rPr>
                <w:t>Condensed Consolidated Statements of</w:t>
              </w:r>
            </w:hyperlink>
            <w:hyperlink w:anchor="i6a590bd55d07434385fe398b7507764e_19">
              <w:r>
                <w:rPr>
                  <w:rStyle w:val="InternetLink"/>
                  <w:rFonts w:ascii="Times New Roman;serif" w:hAnsi="Times New Roman;serif"/>
                  <w:b w:val="false"/>
                  <w:color w:val="000080"/>
                  <w:sz w:val="20"/>
                  <w:u w:val="single"/>
                </w:rPr>
                <w:t xml:space="preserve"> Operation</w:t>
              </w:r>
            </w:hyperlink>
            <w:hyperlink w:anchor="i6a590bd55d07434385fe398b7507764e_19">
              <w:r>
                <w:rPr>
                  <w:rStyle w:val="InternetLink"/>
                  <w:rFonts w:ascii="Times New Roman;serif" w:hAnsi="Times New Roman;serif"/>
                  <w:b w:val="false"/>
                  <w:color w:val="000080"/>
                  <w:sz w:val="20"/>
                  <w:u w:val="single"/>
                </w:rPr>
                <w:t>s and</w:t>
              </w:r>
            </w:hyperlink>
            <w:hyperlink w:anchor="i6a590bd55d07434385fe398b7507764e_19">
              <w:r>
                <w:rPr>
                  <w:rStyle w:val="InternetLink"/>
                  <w:rFonts w:ascii="Times New Roman;serif" w:hAnsi="Times New Roman;serif"/>
                  <w:b w:val="false"/>
                  <w:color w:val="000080"/>
                  <w:sz w:val="20"/>
                  <w:u w:val="single"/>
                </w:rPr>
                <w:t xml:space="preserve"> Comprehensive Loss for the Three</w:t>
              </w:r>
            </w:hyperlink>
            <w:hyperlink w:anchor="i6a590bd55d07434385fe398b7507764e_19">
              <w:r>
                <w:rPr>
                  <w:rStyle w:val="InternetLink"/>
                  <w:rFonts w:ascii="Times New Roman;serif" w:hAnsi="Times New Roman;serif"/>
                  <w:b w:val="false"/>
                  <w:color w:val="000080"/>
                  <w:sz w:val="20"/>
                  <w:u w:val="single"/>
                </w:rPr>
                <w:t xml:space="preserve"> and Six</w:t>
              </w:r>
            </w:hyperlink>
            <w:hyperlink w:anchor="i6a590bd55d07434385fe398b7507764e_19">
              <w:r>
                <w:rPr>
                  <w:rStyle w:val="InternetLink"/>
                  <w:rFonts w:ascii="Times New Roman;serif" w:hAnsi="Times New Roman;serif"/>
                  <w:b w:val="false"/>
                  <w:color w:val="000080"/>
                  <w:sz w:val="20"/>
                  <w:u w:val="single"/>
                </w:rPr>
                <w:t xml:space="preserve"> Months Ended </w:t>
              </w:r>
            </w:hyperlink>
            <w:hyperlink w:anchor="i6a590bd55d07434385fe398b7507764e_19">
              <w:r>
                <w:rPr>
                  <w:rStyle w:val="InternetLink"/>
                  <w:rFonts w:ascii="Times New Roman;serif" w:hAnsi="Times New Roman;serif"/>
                  <w:b w:val="false"/>
                  <w:color w:val="000080"/>
                  <w:sz w:val="20"/>
                  <w:u w:val="single"/>
                </w:rPr>
                <w:t>June 30</w:t>
              </w:r>
            </w:hyperlink>
            <w:hyperlink w:anchor="i6a590bd55d07434385fe398b7507764e_19">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00"/>
                <w:sz w:val="20"/>
                <w:u w:val="single"/>
              </w:rPr>
              <w:t>5</w:t>
            </w:r>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9">
              <w:r>
                <w:rPr>
                  <w:rStyle w:val="InternetLink"/>
                  <w:rFonts w:ascii="Times New Roman;serif" w:hAnsi="Times New Roman;serif"/>
                  <w:b w:val="false"/>
                  <w:color w:val="0000FF"/>
                  <w:sz w:val="20"/>
                  <w:u w:val="single"/>
                </w:rPr>
                <w:t>10</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25">
              <w:r>
                <w:rPr>
                  <w:rStyle w:val="InternetLink"/>
                  <w:rFonts w:ascii="Times New Roman;serif" w:hAnsi="Times New Roman;serif"/>
                  <w:b w:val="false"/>
                  <w:color w:val="000080"/>
                  <w:sz w:val="20"/>
                  <w:u w:val="single"/>
                </w:rPr>
                <w:t>Condensed Consolidated Statements of Stockholders’ Equity for the</w:t>
              </w:r>
            </w:hyperlink>
            <w:hyperlink w:anchor="i6a590bd55d07434385fe398b7507764e_25">
              <w:r>
                <w:rPr>
                  <w:rStyle w:val="InternetLink"/>
                  <w:rFonts w:ascii="Times New Roman;serif" w:hAnsi="Times New Roman;serif"/>
                  <w:b w:val="false"/>
                  <w:color w:val="000080"/>
                  <w:sz w:val="20"/>
                  <w:u w:val="single"/>
                </w:rPr>
                <w:t xml:space="preserve"> Three and </w:t>
              </w:r>
            </w:hyperlink>
            <w:hyperlink w:anchor="i6a590bd55d07434385fe398b7507764e_25">
              <w:r>
                <w:rPr>
                  <w:rStyle w:val="InternetLink"/>
                  <w:rFonts w:ascii="Times New Roman;serif" w:hAnsi="Times New Roman;serif"/>
                  <w:b w:val="false"/>
                  <w:color w:val="000080"/>
                  <w:sz w:val="20"/>
                  <w:u w:val="single"/>
                </w:rPr>
                <w:t>Six</w:t>
              </w:r>
            </w:hyperlink>
            <w:hyperlink w:anchor="i6a590bd55d07434385fe398b7507764e_25">
              <w:r>
                <w:rPr>
                  <w:rStyle w:val="InternetLink"/>
                  <w:rFonts w:ascii="Times New Roman;serif" w:hAnsi="Times New Roman;serif"/>
                  <w:b w:val="false"/>
                  <w:color w:val="000080"/>
                  <w:sz w:val="20"/>
                  <w:u w:val="single"/>
                </w:rPr>
                <w:t xml:space="preserve"> Months Ended </w:t>
              </w:r>
            </w:hyperlink>
            <w:hyperlink w:anchor="i6a590bd55d07434385fe398b7507764e_25">
              <w:r>
                <w:rPr>
                  <w:rStyle w:val="InternetLink"/>
                  <w:rFonts w:ascii="Times New Roman;serif" w:hAnsi="Times New Roman;serif"/>
                  <w:b w:val="false"/>
                  <w:color w:val="000080"/>
                  <w:sz w:val="20"/>
                  <w:u w:val="single"/>
                </w:rPr>
                <w:t>June 30</w:t>
              </w:r>
            </w:hyperlink>
            <w:hyperlink w:anchor="i6a590bd55d07434385fe398b7507764e_25">
              <w:r>
                <w:rPr>
                  <w:rStyle w:val="InternetLink"/>
                  <w:rFonts w:ascii="Times New Roman;serif" w:hAnsi="Times New Roman;serif"/>
                  <w:b w:val="false"/>
                  <w:color w:val="000080"/>
                  <w:sz w:val="20"/>
                  <w:u w:val="single"/>
                </w:rPr>
                <w:t>,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22">
              <w:r>
                <w:rPr>
                  <w:rStyle w:val="InternetLink"/>
                  <w:rFonts w:ascii="sans-serif" w:hAnsi="sans-serif"/>
                  <w:b w:val="false"/>
                  <w:color w:val="0000FF"/>
                  <w:sz w:val="22"/>
                  <w:u w:val="single"/>
                </w:rPr>
                <w:t>11</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28">
              <w:r>
                <w:rPr>
                  <w:rStyle w:val="InternetLink"/>
                  <w:rFonts w:ascii="Times New Roman;serif" w:hAnsi="Times New Roman;serif"/>
                  <w:b w:val="false"/>
                  <w:color w:val="000080"/>
                  <w:sz w:val="20"/>
                  <w:u w:val="single"/>
                </w:rPr>
                <w:t xml:space="preserve">Condensed Consolidated Statements of Cash Flows for the </w:t>
              </w:r>
            </w:hyperlink>
            <w:hyperlink w:anchor="i6a590bd55d07434385fe398b7507764e_28">
              <w:r>
                <w:rPr>
                  <w:rStyle w:val="InternetLink"/>
                  <w:rFonts w:ascii="Times New Roman;serif" w:hAnsi="Times New Roman;serif"/>
                  <w:b w:val="false"/>
                  <w:color w:val="000080"/>
                  <w:sz w:val="20"/>
                  <w:u w:val="single"/>
                </w:rPr>
                <w:t>Six</w:t>
              </w:r>
            </w:hyperlink>
            <w:hyperlink w:anchor="i6a590bd55d07434385fe398b7507764e_28">
              <w:r>
                <w:rPr>
                  <w:rStyle w:val="InternetLink"/>
                  <w:rFonts w:ascii="Times New Roman;serif" w:hAnsi="Times New Roman;serif"/>
                  <w:b w:val="false"/>
                  <w:color w:val="000080"/>
                  <w:sz w:val="20"/>
                  <w:u w:val="single"/>
                </w:rPr>
                <w:t xml:space="preserve"> Months Ended </w:t>
              </w:r>
            </w:hyperlink>
            <w:hyperlink w:anchor="i6a590bd55d07434385fe398b7507764e_28">
              <w:r>
                <w:rPr>
                  <w:rStyle w:val="InternetLink"/>
                  <w:rFonts w:ascii="Times New Roman;serif" w:hAnsi="Times New Roman;serif"/>
                  <w:b w:val="false"/>
                  <w:color w:val="000080"/>
                  <w:sz w:val="20"/>
                  <w:u w:val="single"/>
                </w:rPr>
                <w:t>J</w:t>
              </w:r>
            </w:hyperlink>
            <w:hyperlink w:anchor="i6a590bd55d07434385fe398b7507764e_28">
              <w:r>
                <w:rPr>
                  <w:rStyle w:val="InternetLink"/>
                  <w:rFonts w:ascii="Times New Roman;serif" w:hAnsi="Times New Roman;serif"/>
                  <w:b w:val="false"/>
                  <w:color w:val="000080"/>
                  <w:sz w:val="20"/>
                  <w:u w:val="single"/>
                </w:rPr>
                <w:t>une 30</w:t>
              </w:r>
            </w:hyperlink>
            <w:hyperlink w:anchor="i6a590bd55d07434385fe398b7507764e_28">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00"/>
                <w:sz w:val="20"/>
                <w:u w:val="single"/>
              </w:rPr>
              <w:t>5</w:t>
            </w:r>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28">
              <w:r>
                <w:rPr>
                  <w:rStyle w:val="InternetLink"/>
                  <w:rFonts w:ascii="Times New Roman;serif" w:hAnsi="Times New Roman;serif"/>
                  <w:b w:val="false"/>
                  <w:color w:val="0000FF"/>
                  <w:sz w:val="20"/>
                  <w:u w:val="single"/>
                </w:rPr>
                <w:t>13</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31">
              <w:r>
                <w:rPr>
                  <w:rStyle w:val="InternetLink"/>
                  <w:rFonts w:ascii="Times New Roman;serif" w:hAnsi="Times New Roman;serif"/>
                  <w:b w:val="false"/>
                  <w:color w:val="000000"/>
                  <w:sz w:val="20"/>
                  <w:u w:val="single"/>
                </w:rPr>
                <w:t>Notes to Unaudited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31">
              <w:r>
                <w:rPr>
                  <w:rStyle w:val="InternetLink"/>
                  <w:rFonts w:ascii="Times New Roman;serif" w:hAnsi="Times New Roman;serif"/>
                  <w:b w:val="false"/>
                  <w:color w:val="0000FF"/>
                  <w:sz w:val="20"/>
                  <w:u w:val="single"/>
                </w:rPr>
                <w:t>14</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76">
              <w:r>
                <w:rPr>
                  <w:rStyle w:val="InternetLink"/>
                  <w:rFonts w:ascii="Times New Roman;serif" w:hAnsi="Times New Roman;serif"/>
                  <w:b w:val="false"/>
                  <w:strike w:val="false"/>
                  <w:dstrike w:val="false"/>
                  <w:color w:val="000000"/>
                  <w:sz w:val="20"/>
                  <w:u w:val="none"/>
                  <w:effect w:val="none"/>
                </w:rPr>
                <w:t>Item 2.</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76">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76">
              <w:r>
                <w:rPr>
                  <w:rStyle w:val="InternetLink"/>
                  <w:rFonts w:ascii="Times New Roman;serif" w:hAnsi="Times New Roman;serif"/>
                  <w:b w:val="false"/>
                  <w:color w:val="0000FF"/>
                  <w:sz w:val="20"/>
                  <w:u w:val="single"/>
                </w:rPr>
                <w:t>27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09">
              <w:r>
                <w:rPr>
                  <w:rStyle w:val="InternetLink"/>
                  <w:rFonts w:ascii="Times New Roman;serif" w:hAnsi="Times New Roman;serif"/>
                  <w:b w:val="false"/>
                  <w:strike w:val="false"/>
                  <w:dstrike w:val="false"/>
                  <w:color w:val="000000"/>
                  <w:sz w:val="20"/>
                  <w:u w:val="none"/>
                  <w:effect w:val="none"/>
                </w:rPr>
                <w:t>Item 3.</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09">
              <w:r>
                <w:rPr>
                  <w:rStyle w:val="InternetLink"/>
                  <w:rFonts w:ascii="Times New Roman;serif" w:hAnsi="Times New Roman;serif"/>
                  <w:b w:val="false"/>
                  <w:color w:val="000000"/>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09">
              <w:r>
                <w:rPr>
                  <w:rStyle w:val="InternetLink"/>
                  <w:rFonts w:ascii="Times New Roman;serif" w:hAnsi="Times New Roman;serif"/>
                  <w:b w:val="false"/>
                  <w:color w:val="0000FF"/>
                  <w:sz w:val="20"/>
                  <w:u w:val="single"/>
                </w:rPr>
                <w:t>38</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2">
              <w:r>
                <w:rPr>
                  <w:rStyle w:val="InternetLink"/>
                  <w:rFonts w:ascii="Times New Roman;serif" w:hAnsi="Times New Roman;serif"/>
                  <w:b w:val="false"/>
                  <w:strike w:val="false"/>
                  <w:dstrike w:val="false"/>
                  <w:color w:val="000000"/>
                  <w:sz w:val="20"/>
                  <w:u w:val="none"/>
                  <w:effect w:val="none"/>
                </w:rPr>
                <w:t>Item 4.</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2">
              <w:r>
                <w:rPr>
                  <w:rStyle w:val="InternetLink"/>
                  <w:rFonts w:ascii="Times New Roman;serif" w:hAnsi="Times New Roman;serif"/>
                  <w:b w:val="false"/>
                  <w:color w:val="000000"/>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12">
              <w:r>
                <w:rPr>
                  <w:rStyle w:val="InternetLink"/>
                  <w:rFonts w:ascii="Times New Roman;serif" w:hAnsi="Times New Roman;serif"/>
                  <w:b w:val="false"/>
                  <w:color w:val="0000FF"/>
                  <w:sz w:val="20"/>
                  <w:u w:val="single"/>
                </w:rPr>
                <w:t>38</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w:t>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5">
              <w:r>
                <w:rPr>
                  <w:rStyle w:val="InternetLink"/>
                  <w:rFonts w:ascii="Times New Roman;serif" w:hAnsi="Times New Roman;serif"/>
                  <w:b w:val="false"/>
                  <w:color w:val="000000"/>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15">
              <w:r>
                <w:rPr>
                  <w:rStyle w:val="InternetLink"/>
                  <w:rFonts w:ascii="Times New Roman;serif" w:hAnsi="Times New Roman;serif"/>
                  <w:b w:val="false"/>
                  <w:color w:val="0000FF"/>
                  <w:sz w:val="20"/>
                  <w:u w:val="single"/>
                </w:rPr>
                <w:t>39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8">
              <w:r>
                <w:rPr>
                  <w:rStyle w:val="InternetLink"/>
                  <w:rFonts w:ascii="Times New Roman;serif" w:hAnsi="Times New Roman;serif"/>
                  <w:b w:val="false"/>
                  <w:strike w:val="false"/>
                  <w:dstrike w:val="false"/>
                  <w:color w:val="000000"/>
                  <w:sz w:val="20"/>
                  <w:u w:val="none"/>
                  <w:effect w:val="none"/>
                </w:rPr>
                <w:t>Item 1.</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18">
              <w:r>
                <w:rPr>
                  <w:rStyle w:val="InternetLink"/>
                  <w:rFonts w:ascii="Times New Roman;serif" w:hAnsi="Times New Roman;serif"/>
                  <w:b w:val="false"/>
                  <w:color w:val="000000"/>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18">
              <w:r>
                <w:rPr>
                  <w:rStyle w:val="InternetLink"/>
                  <w:rFonts w:ascii="Times New Roman;serif" w:hAnsi="Times New Roman;serif"/>
                  <w:b w:val="false"/>
                  <w:color w:val="0000FF"/>
                  <w:sz w:val="20"/>
                  <w:u w:val="single"/>
                </w:rPr>
                <w:t>39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 Factors</w:t>
            </w:r>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21">
              <w:r>
                <w:rPr>
                  <w:rStyle w:val="InternetLink"/>
                  <w:rFonts w:ascii="Times New Roman;serif" w:hAnsi="Times New Roman;serif"/>
                  <w:b w:val="false"/>
                  <w:color w:val="0000FF"/>
                  <w:sz w:val="20"/>
                  <w:u w:val="single"/>
                </w:rPr>
                <w:t>40</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24">
              <w:r>
                <w:rPr>
                  <w:rStyle w:val="InternetLink"/>
                  <w:rFonts w:ascii="Times New Roman;serif" w:hAnsi="Times New Roman;serif"/>
                  <w:b w:val="false"/>
                  <w:strike w:val="false"/>
                  <w:dstrike w:val="false"/>
                  <w:color w:val="000000"/>
                  <w:sz w:val="20"/>
                  <w:u w:val="none"/>
                  <w:effect w:val="none"/>
                </w:rPr>
                <w:t>Item 2.</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24">
              <w:r>
                <w:rPr>
                  <w:rStyle w:val="InternetLink"/>
                  <w:rFonts w:ascii="Times New Roman;serif" w:hAnsi="Times New Roman;serif"/>
                  <w:b w:val="false"/>
                  <w:color w:val="000000"/>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24">
              <w:r>
                <w:rPr>
                  <w:rStyle w:val="InternetLink"/>
                  <w:rFonts w:ascii="Times New Roman;serif" w:hAnsi="Times New Roman;serif"/>
                  <w:b w:val="false"/>
                  <w:color w:val="0000FF"/>
                  <w:sz w:val="20"/>
                  <w:u w:val="single"/>
                </w:rPr>
                <w:t>89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27">
              <w:r>
                <w:rPr>
                  <w:rStyle w:val="InternetLink"/>
                  <w:rFonts w:ascii="Times New Roman;serif" w:hAnsi="Times New Roman;serif"/>
                  <w:b w:val="false"/>
                  <w:strike w:val="false"/>
                  <w:dstrike w:val="false"/>
                  <w:color w:val="000000"/>
                  <w:sz w:val="20"/>
                  <w:u w:val="none"/>
                  <w:effect w:val="none"/>
                </w:rPr>
                <w:t>Item 3.</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27">
              <w:r>
                <w:rPr>
                  <w:rStyle w:val="InternetLink"/>
                  <w:rFonts w:ascii="Times New Roman;serif" w:hAnsi="Times New Roman;serif"/>
                  <w:b w:val="false"/>
                  <w:color w:val="000000"/>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27">
              <w:r>
                <w:rPr>
                  <w:rStyle w:val="InternetLink"/>
                  <w:rFonts w:ascii="Times New Roman;serif" w:hAnsi="Times New Roman;serif"/>
                  <w:b w:val="false"/>
                  <w:color w:val="0000FF"/>
                  <w:sz w:val="20"/>
                  <w:u w:val="single"/>
                </w:rPr>
                <w:t>89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0">
              <w:r>
                <w:rPr>
                  <w:rStyle w:val="InternetLink"/>
                  <w:rFonts w:ascii="Times New Roman;serif" w:hAnsi="Times New Roman;serif"/>
                  <w:b w:val="false"/>
                  <w:strike w:val="false"/>
                  <w:dstrike w:val="false"/>
                  <w:color w:val="000000"/>
                  <w:sz w:val="20"/>
                  <w:u w:val="none"/>
                  <w:effect w:val="none"/>
                </w:rPr>
                <w:t>Item 4.</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0">
              <w:r>
                <w:rPr>
                  <w:rStyle w:val="InternetLink"/>
                  <w:rFonts w:ascii="Times New Roman;serif" w:hAnsi="Times New Roman;serif"/>
                  <w:b w:val="false"/>
                  <w:color w:val="000000"/>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30">
              <w:r>
                <w:rPr>
                  <w:rStyle w:val="InternetLink"/>
                  <w:rFonts w:ascii="Times New Roman;serif" w:hAnsi="Times New Roman;serif"/>
                  <w:b w:val="false"/>
                  <w:color w:val="0000FF"/>
                  <w:sz w:val="20"/>
                  <w:u w:val="single"/>
                </w:rPr>
                <w:t>89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3">
              <w:r>
                <w:rPr>
                  <w:rStyle w:val="InternetLink"/>
                  <w:rFonts w:ascii="Times New Roman;serif" w:hAnsi="Times New Roman;serif"/>
                  <w:b w:val="false"/>
                  <w:strike w:val="false"/>
                  <w:dstrike w:val="false"/>
                  <w:color w:val="000000"/>
                  <w:sz w:val="20"/>
                  <w:u w:val="none"/>
                  <w:effect w:val="none"/>
                </w:rPr>
                <w:t>Item 5.</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3">
              <w:r>
                <w:rPr>
                  <w:rStyle w:val="InternetLink"/>
                  <w:rFonts w:ascii="Times New Roman;serif" w:hAnsi="Times New Roman;serif"/>
                  <w:b w:val="false"/>
                  <w:color w:val="000000"/>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33">
              <w:r>
                <w:rPr>
                  <w:rStyle w:val="InternetLink"/>
                  <w:rFonts w:ascii="Times New Roman;serif" w:hAnsi="Times New Roman;serif"/>
                  <w:b w:val="false"/>
                  <w:color w:val="0000FF"/>
                  <w:sz w:val="20"/>
                  <w:u w:val="single"/>
                </w:rPr>
                <w:t>89</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9">
              <w:r>
                <w:rPr>
                  <w:rStyle w:val="InternetLink"/>
                  <w:rFonts w:ascii="Times New Roman;serif" w:hAnsi="Times New Roman;serif"/>
                  <w:b w:val="false"/>
                  <w:strike w:val="false"/>
                  <w:dstrike w:val="false"/>
                  <w:color w:val="000000"/>
                  <w:sz w:val="20"/>
                  <w:u w:val="none"/>
                  <w:effect w:val="none"/>
                </w:rPr>
                <w:t>Item 6.</w:t>
              </w:r>
            </w:hyperlink>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39">
              <w:r>
                <w:rPr>
                  <w:rStyle w:val="InternetLink"/>
                  <w:rFonts w:ascii="Times New Roman;serif" w:hAnsi="Times New Roman;serif"/>
                  <w:b w:val="false"/>
                  <w:color w:val="000000"/>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39">
              <w:r>
                <w:rPr>
                  <w:rStyle w:val="InternetLink"/>
                  <w:rFonts w:ascii="Times New Roman;serif" w:hAnsi="Times New Roman;serif"/>
                  <w:b w:val="false"/>
                  <w:color w:val="0000FF"/>
                  <w:sz w:val="20"/>
                  <w:u w:val="single"/>
                </w:rPr>
                <w:t>92</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i6a590bd55d07434385fe398b7507764e_142">
              <w:r>
                <w:rPr>
                  <w:rStyle w:val="InternetLink"/>
                  <w:rFonts w:ascii="Times New Roman;serif" w:hAnsi="Times New Roman;serif"/>
                  <w:b w:val="false"/>
                  <w:color w:val="000000"/>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319" w:before="0" w:after="200"/>
              <w:jc w:val="right"/>
              <w:rPr/>
            </w:pPr>
            <w:hyperlink w:anchor="i6a590bd55d07434385fe398b7507764e_142">
              <w:r>
                <w:rPr>
                  <w:rStyle w:val="InternetLink"/>
                  <w:rFonts w:ascii="Times New Roman;serif" w:hAnsi="Times New Roman;serif"/>
                  <w:b w:val="false"/>
                  <w:color w:val="0000FF"/>
                  <w:sz w:val="20"/>
                  <w:u w:val="single"/>
                </w:rPr>
                <w:t>94</w:t>
              </w:r>
            </w:hyperlink>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SUMMARY OF THE MATERIAL RISKS ASSOCIATED WITH OUR BUSINESS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risks and uncertainties, including those further described below in the section titled “Risk Factors” in this Quarterly Report on Form 10-Q,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materially adversely affect our business, financial conditions, results of operations, future growth prospects, or cause a decline in the price of our common stock:</w:t>
      </w:r>
    </w:p>
    <w:p>
      <w:pPr>
        <w:pStyle w:val="TextBody"/>
        <w:bidi w:val="0"/>
        <w:spacing w:before="0" w:after="200"/>
        <w:jc w:val="both"/>
        <w:rPr/>
      </w:pPr>
      <w:r>
        <w:rPr/>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231F20"/>
          <w:sz w:val="20"/>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231F20"/>
          <w:sz w:val="20"/>
        </w:rPr>
        <w:t>If we are unable to raise capital when needed, or on acceptable terms, we may be unable to complete the development and commercialization of ficerafusp alfa or any future product candidates.</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Our business is highly dependent on the success of ficerafusp alfa. If we are unable to successfully complete clinical development, obtain regulatory approval for or commercialize ficerafusp alfa, or if we experience delays in doing so, our business will be materially harmed.</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Our business is dependent on our ability to advance ficerafusp alfa and future product candidates through clinical trials, obtain marketing approval and ultimately commercialize them.</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231F20"/>
          <w:sz w:val="20"/>
        </w:rPr>
        <w:t>Clinical development involves a lengthy and expensive process with uncertain outcomes. We may incur additional costs and experience delays in developing and commercializing or be unable to develop or commercialize ficerafusp alfa and any future product candidates.</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Ficerafusp alfa or any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We rely, and expect to continue to rely, on third parties, including independent clinical investigators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We currently and in the future may depend on other third-party collaborators for the discovery, development and commercialization of ficerafusp alfa and any of our future product candidates. If our collaborations are not successful, we may not be able to capitalize on the market potential of these product candidates.</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The regulatory approval processes of the U.S. Food and Drug Administration and comparable foreign authorities are lengthy, time-consuming and inherently unpredictable, and if we are ultimately unable to obtain regulatory approval for our product candidates, our business will be materially harmed.</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231F20"/>
          <w:sz w:val="20"/>
        </w:rPr>
        <w:t>The commercial success of ficerafusp alfa or any future product candidates will depend upon the degree of market acceptance of such product candidates by physicians, patients, healthcare payors and others in the medical community.</w:t>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000000"/>
          <w:sz w:val="20"/>
        </w:rPr>
        <w:t>Our ability to compete may decline if we do not adequately protect our proprietary rights.</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Unfavorable global economic and geopolitical conditions could adversely affect our business, financial condition, stock price and results of operations.</w:t>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2560"/>
                <wp:effectExtent l="0" t="0" r="0" b="0"/>
                <wp:wrapNone/>
                <wp:docPr id="4"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68" w:before="0" w:after="200"/>
        <w:ind w:left="0" w:right="0" w:hanging="360"/>
        <w:jc w:val="both"/>
        <w:rPr/>
      </w:pPr>
      <w:r>
        <w:rPr>
          <w:color w:val="231F20"/>
        </w:rPr>
        <w:t>•</w:t>
      </w:r>
      <w:r>
        <w:rPr>
          <w:rFonts w:ascii="Times New Roman;serif" w:hAnsi="Times New Roman;serif"/>
          <w:b w:val="false"/>
          <w:color w:val="231F20"/>
          <w:sz w:val="20"/>
        </w:rPr>
        <w:t>Our ability to develop product candidates, leverage our potential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in the section titled “Risk Factors” and the other information set forth in this Quarterly Report, including our condensed consolidated financial statements and the related notes, as well as in other documents that we file with the Securities and Exchange Commission, or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spacing w:before="2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2560"/>
                <wp:effectExtent l="0" t="0" r="0" b="0"/>
                <wp:wrapNone/>
                <wp:docPr id="5"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319" w:before="200" w:after="200"/>
        <w:jc w:val="center"/>
        <w:rPr>
          <w:rFonts w:ascii="Times New Roman;serif" w:hAnsi="Times New Roman;serif"/>
          <w:b/>
          <w:color w:val="231F20"/>
          <w:sz w:val="20"/>
        </w:rPr>
      </w:pPr>
      <w:r>
        <w:rPr>
          <w:rFonts w:ascii="Times New Roman;serif" w:hAnsi="Times New Roman;serif"/>
          <w:b/>
          <w:color w:val="231F20"/>
          <w:sz w:val="20"/>
        </w:rPr>
        <w:t>SPECIAL NOTE REGARDING FORWARD-LOOKING STATEMENTS</w:t>
      </w:r>
    </w:p>
    <w:p>
      <w:pPr>
        <w:pStyle w:val="TextBody"/>
        <w:bidi w:val="0"/>
        <w:spacing w:lineRule="auto" w:line="268" w:before="200" w:after="200"/>
        <w:jc w:val="both"/>
        <w:rPr>
          <w:rFonts w:ascii="Times New Roman;serif" w:hAnsi="Times New Roman;serif"/>
          <w:b w:val="false"/>
          <w:color w:val="231F20"/>
          <w:sz w:val="20"/>
        </w:rPr>
      </w:pPr>
      <w:r>
        <w:rPr>
          <w:rFonts w:ascii="Times New Roman;serif" w:hAnsi="Times New Roman;serif"/>
          <w:b w:val="false"/>
          <w:color w:val="231F20"/>
          <w:sz w:val="20"/>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the timing, progress, results and cost of our development activities for ficerafusp alfa, including the FORTIFI-HN01 Phase 2/3 pivotal trial, the expansion cohorts of our Phase 1/1b trial, and our alternate dose study, as well as our research and development programs and any current and future preclinical and clinical studies;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ability and the potential to secure pembrolizumab for our clinical trials and successfully manufacture our drug substances and ficerafusp alfa for preclinical use, for clinical trials and on a larger scale for commercial use, if approved;</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expectations for the potential safety, efficacy and therapeutic effects of ficerafusp alfa, and the ability of our clinical trials to demonstrate such results;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expectations for the development of ficerafusp alfa with a loading and every-three-week maintenance dosing regimen;</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timing, scope and likelihood of regulatory filings and approvals, including potential accelerated approval, for ficerafusp alfa and future product candidates;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initiate, recruit and enroll patients in and conduct and successfully complete our clinical trials at the pace that we project;</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maintain and further develop the specific shipping, storage, handling and administration of ficerafusp alfa at the clinical sites;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ability and willingness of our third-party strategic collaborators to continue research and development activities relating to our development candidates and ficerafusp alfa;</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obtain funding to continue development and commercialization of ficerafusp alfa;</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obtain and maintain regulatory approval of ficerafusp alfa;</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commercialize ficerafusp alfa, if approved;</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potential pricing and reimbursement of ficerafusp alfa, if approved;</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implementation of our business model, and strategic plans for our business, ficerafusp alfa and technology;</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scope of protection we are able to establish and maintain for intellectual property rights covering ficerafusp alfa and other product candidate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estimates of our future expenses, revenues and capital requirements, our needs for additional financing and ability to raise capital, including under our “at-the-market” offering program;</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future agreements with third parties in connection with the development and commercialization of ficerafusp alfa and any other approved product;</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size and growth potential of the markets for ficerafusp alfa and our ability to serve those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2560"/>
                <wp:effectExtent l="0" t="0" r="0" b="0"/>
                <wp:wrapNone/>
                <wp:docPr id="6"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rate and degree of market acceptance of ficerafusp alfa;</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regulatory developments in the U.S., Canada, European Union and other foreign countries;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the success of competing therapies that are or may become available and ficerafusp alfa’s differentiation from competitors;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our ability to attract and retain key personnel;</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the impact of laws and regulations;</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developments relating to our competitors and our industry; and</w:t>
      </w:r>
    </w:p>
    <w:p>
      <w:pPr>
        <w:pStyle w:val="TextBody"/>
        <w:bidi w:val="0"/>
        <w:spacing w:lineRule="auto" w:line="319" w:before="0" w:after="200"/>
        <w:ind w:left="0" w:right="0" w:hanging="360"/>
        <w:jc w:val="both"/>
        <w:rPr/>
      </w:pPr>
      <w:r>
        <w:rPr>
          <w:color w:val="000000"/>
        </w:rPr>
        <w:t>•</w:t>
      </w:r>
      <w:r>
        <w:rPr>
          <w:rFonts w:ascii="Times New Roman;serif" w:hAnsi="Times New Roman;serif"/>
          <w:b w:val="false"/>
          <w:color w:val="000000"/>
          <w:sz w:val="20"/>
        </w:rPr>
        <w:t>other risks and uncertainties, including those listed under the caption “Risk Factors.”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 as exhibits hereto completely and with the understanding that our actual future results may be materially different from any future results expressed or implied by these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Quarterly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their estimates, in particular as they relate to projections, involve numerous assumptions, are subject to risks and uncertainties and are subject to change based on various factors, including those discussed under the section titled “Risk Factors” and elsewhere in this Quarterly Report.</w:t>
      </w:r>
    </w:p>
    <w:p>
      <w:pPr>
        <w:pStyle w:val="TextBody"/>
        <w:bidi w:val="0"/>
        <w:spacing w:before="0" w:after="200"/>
        <w:jc w:val="center"/>
        <w:rPr/>
      </w:pPr>
      <w:r>
        <w:rPr/>
      </w: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2560"/>
                <wp:effectExtent l="0" t="0" r="0" b="0"/>
                <wp:wrapNone/>
                <wp:docPr id="7"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Bicara Therapeutics Inc. is the owner of the Bicara trademark, as well as certain other registered trademarks, trademark applications and unregistered trademarks and service marks, including design versions of some of these trademarks. The symbols ™ and ® are not used in connection with the presentation of these trademarks in this report and their absence does not indicate a lack of trademark rights. Certain other trademarks used in this report are the property of third-party trademark owners and may be presented with or without trademark references.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brand names or trademarks appearing in this report are the property of their respective owners. Unless the context requires otherwise, references in this report to “Bicara,” the “Company,” “we,” “us” and “our” refer to Bicara Therapeutics Inc. and its subsidiary. </w:t>
      </w:r>
    </w:p>
    <w:p>
      <w:pPr>
        <w:pStyle w:val="TextBody"/>
        <w:bidi w:val="0"/>
        <w:spacing w:before="0" w:after="200"/>
        <w:jc w:val="center"/>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2560"/>
                <wp:effectExtent l="0" t="0" r="0" b="0"/>
                <wp:wrapNone/>
                <wp:docPr id="8"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0"/>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BICARA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shares and per share data)</w:t>
      </w:r>
    </w:p>
    <w:tbl>
      <w:tblPr>
        <w:tblW w:w="10205" w:type="dxa"/>
        <w:jc w:val="center"/>
        <w:tblInd w:w="0" w:type="dxa"/>
        <w:tblLayout w:type="fixed"/>
        <w:tblCellMar>
          <w:top w:w="28" w:type="dxa"/>
          <w:left w:w="28" w:type="dxa"/>
          <w:bottom w:w="28" w:type="dxa"/>
          <w:right w:w="28" w:type="dxa"/>
        </w:tblCellMar>
      </w:tblPr>
      <w:tblGrid>
        <w:gridCol w:w="2731"/>
        <w:gridCol w:w="2260"/>
        <w:gridCol w:w="2206"/>
        <w:gridCol w:w="412"/>
        <w:gridCol w:w="387"/>
        <w:gridCol w:w="394"/>
        <w:gridCol w:w="109"/>
        <w:gridCol w:w="109"/>
        <w:gridCol w:w="109"/>
        <w:gridCol w:w="592"/>
        <w:gridCol w:w="406"/>
        <w:gridCol w:w="490"/>
      </w:tblGrid>
      <w:tr>
        <w:trPr/>
        <w:tc>
          <w:tcPr>
            <w:tcW w:w="273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12"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96,599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96,685</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assets </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7,252</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318,116</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503,820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422,053</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330</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Right of use asset – operating lease</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1,701</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6,910</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512,243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430,994</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412"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5,515</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2,278</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33,666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18,898</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 related party </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1,141</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 liability – current portion</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1,117</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28,949</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 liability – net of current portion</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593</w:t>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43,475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29,542</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(Note 7) </w:t>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0 shares issued and outstanding as of June 30, 2026 and December 31, 2025</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500,000,000 shares authorized; 65,931,128 and 56,600,724 shares issued and outstanding as of June 30, 2026 and December 31, 2025, respectively</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939,940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760,168</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93"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(470,613)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(358,966)</w:t>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468,768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401,452</w:t>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41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512,243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430,994</w:t>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62915"/>
                <wp:effectExtent l="0" t="0" r="0" b="0"/>
                <wp:wrapNone/>
                <wp:docPr id="9" name="Frame9"/>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BICARA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shares and per share data)</w:t>
      </w:r>
    </w:p>
    <w:tbl>
      <w:tblPr>
        <w:tblW w:w="10205" w:type="dxa"/>
        <w:jc w:val="left"/>
        <w:tblInd w:w="0" w:type="dxa"/>
        <w:tblLayout w:type="fixed"/>
        <w:tblCellMar>
          <w:top w:w="28" w:type="dxa"/>
          <w:left w:w="28" w:type="dxa"/>
          <w:bottom w:w="28" w:type="dxa"/>
          <w:right w:w="28" w:type="dxa"/>
        </w:tblCellMar>
      </w:tblPr>
      <w:tblGrid>
        <w:gridCol w:w="1530"/>
        <w:gridCol w:w="995"/>
        <w:gridCol w:w="1002"/>
        <w:gridCol w:w="213"/>
        <w:gridCol w:w="768"/>
        <w:gridCol w:w="109"/>
        <w:gridCol w:w="109"/>
        <w:gridCol w:w="109"/>
        <w:gridCol w:w="109"/>
        <w:gridCol w:w="213"/>
        <w:gridCol w:w="768"/>
        <w:gridCol w:w="109"/>
        <w:gridCol w:w="109"/>
        <w:gridCol w:w="109"/>
        <w:gridCol w:w="109"/>
        <w:gridCol w:w="211"/>
        <w:gridCol w:w="865"/>
        <w:gridCol w:w="109"/>
        <w:gridCol w:w="109"/>
        <w:gridCol w:w="109"/>
        <w:gridCol w:w="109"/>
        <w:gridCol w:w="211"/>
        <w:gridCol w:w="760"/>
        <w:gridCol w:w="109"/>
        <w:gridCol w:w="109"/>
        <w:gridCol w:w="109"/>
        <w:gridCol w:w="109"/>
        <w:gridCol w:w="109"/>
        <w:gridCol w:w="109"/>
        <w:gridCol w:w="109"/>
        <w:gridCol w:w="109"/>
        <w:gridCol w:w="109"/>
        <w:gridCol w:w="109"/>
        <w:gridCol w:w="109"/>
        <w:gridCol w:w="162"/>
      </w:tblGrid>
      <w:tr>
        <w:trPr/>
        <w:tc>
          <w:tcPr>
            <w:tcW w:w="153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 - related party</w:t>
            </w:r>
          </w:p>
        </w:tc>
        <w:tc>
          <w:tcPr>
            <w:tcW w:w="21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44,862 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90,345 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49,624 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8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(55,375)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(27,336)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(111,532)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(64,110)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(55,436)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(111,647)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(64,234)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3"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 and diluted</w:t>
            </w:r>
          </w:p>
        </w:tc>
        <w:tc>
          <w:tcPr>
            <w:tcW w:w="1090"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67,925,963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54,539,230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64,360,558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54,496,862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(55,760)</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(112,457)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(64,234)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62915"/>
                <wp:effectExtent l="0" t="0" r="0" b="0"/>
                <wp:wrapNone/>
                <wp:docPr id="10" name="Frame10"/>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BICARA THERAPEUTICS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shares)</w:t>
      </w:r>
    </w:p>
    <w:tbl>
      <w:tblPr>
        <w:tblW w:w="12764"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109"/>
        <w:gridCol w:w="109"/>
        <w:gridCol w:w="109"/>
        <w:gridCol w:w="109"/>
        <w:gridCol w:w="295"/>
        <w:gridCol w:w="295"/>
        <w:gridCol w:w="296"/>
        <w:gridCol w:w="109"/>
        <w:gridCol w:w="1006"/>
        <w:gridCol w:w="109"/>
        <w:gridCol w:w="109"/>
        <w:gridCol w:w="109"/>
        <w:gridCol w:w="345"/>
        <w:gridCol w:w="345"/>
        <w:gridCol w:w="346"/>
        <w:gridCol w:w="225"/>
        <w:gridCol w:w="225"/>
        <w:gridCol w:w="226"/>
        <w:gridCol w:w="445"/>
        <w:gridCol w:w="540"/>
        <w:gridCol w:w="231"/>
        <w:gridCol w:w="109"/>
        <w:gridCol w:w="109"/>
        <w:gridCol w:w="109"/>
        <w:gridCol w:w="232"/>
        <w:gridCol w:w="908"/>
        <w:gridCol w:w="121"/>
        <w:gridCol w:w="781"/>
        <w:gridCol w:w="109"/>
        <w:gridCol w:w="109"/>
        <w:gridCol w:w="109"/>
        <w:gridCol w:w="109"/>
        <w:gridCol w:w="211"/>
        <w:gridCol w:w="84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Common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3896" w:type="dxa"/>
            <w:gridSpan w:val="1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Shares</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Amount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54,440,013</w:t>
            </w:r>
          </w:p>
        </w:tc>
        <w:tc>
          <w:tcPr>
            <w:tcW w:w="6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712,884 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(221,016)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491,875 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88,962</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477</w:t>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6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3,451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(36,846)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(36,846)</w:t>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54,528,975</w:t>
            </w:r>
          </w:p>
        </w:tc>
        <w:tc>
          <w:tcPr>
            <w:tcW w:w="6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716,812 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(257,862)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458,957 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27,103</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6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3,492</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54,556,078</w:t>
            </w:r>
          </w:p>
        </w:tc>
        <w:tc>
          <w:tcPr>
            <w:tcW w:w="6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720,439 </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(285,250)</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435,196 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62915"/>
                <wp:effectExtent l="0" t="0" r="0" b="0"/>
                <wp:wrapNone/>
                <wp:docPr id="11" name="Frame11"/>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BICARA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shares)</w:t>
      </w:r>
    </w:p>
    <w:tbl>
      <w:tblPr>
        <w:tblW w:w="10587" w:type="dxa"/>
        <w:jc w:val="left"/>
        <w:tblInd w:w="0" w:type="dxa"/>
        <w:tblLayout w:type="fixed"/>
        <w:tblCellMar>
          <w:top w:w="28" w:type="dxa"/>
          <w:left w:w="28" w:type="dxa"/>
          <w:bottom w:w="28" w:type="dxa"/>
          <w:right w:w="28" w:type="dxa"/>
        </w:tblCellMar>
      </w:tblPr>
      <w:tblGrid>
        <w:gridCol w:w="629"/>
        <w:gridCol w:w="380"/>
        <w:gridCol w:w="312"/>
        <w:gridCol w:w="109"/>
        <w:gridCol w:w="109"/>
        <w:gridCol w:w="109"/>
        <w:gridCol w:w="540"/>
        <w:gridCol w:w="541"/>
        <w:gridCol w:w="348"/>
        <w:gridCol w:w="109"/>
        <w:gridCol w:w="109"/>
        <w:gridCol w:w="109"/>
        <w:gridCol w:w="286"/>
        <w:gridCol w:w="347"/>
        <w:gridCol w:w="148"/>
        <w:gridCol w:w="109"/>
        <w:gridCol w:w="109"/>
        <w:gridCol w:w="109"/>
        <w:gridCol w:w="211"/>
        <w:gridCol w:w="826"/>
        <w:gridCol w:w="109"/>
        <w:gridCol w:w="109"/>
        <w:gridCol w:w="109"/>
        <w:gridCol w:w="109"/>
        <w:gridCol w:w="374"/>
        <w:gridCol w:w="870"/>
        <w:gridCol w:w="182"/>
        <w:gridCol w:w="109"/>
        <w:gridCol w:w="109"/>
        <w:gridCol w:w="109"/>
        <w:gridCol w:w="211"/>
        <w:gridCol w:w="896"/>
        <w:gridCol w:w="109"/>
        <w:gridCol w:w="109"/>
        <w:gridCol w:w="109"/>
        <w:gridCol w:w="109"/>
        <w:gridCol w:w="231"/>
        <w:gridCol w:w="905"/>
        <w:gridCol w:w="170"/>
      </w:tblGrid>
      <w:tr>
        <w:trPr/>
        <w:tc>
          <w:tcPr>
            <w:tcW w:w="6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Common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56,600,724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760,168 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sans-serif" w:hAnsi="sans-serif"/>
                <w:b w:val="false"/>
                <w:color w:val="000000"/>
                <w:sz w:val="20"/>
              </w:rPr>
            </w:pPr>
            <w:r>
              <w:rPr>
                <w:rFonts w:ascii="sans-serif" w:hAnsi="sans-serif"/>
                <w:b w:val="false"/>
                <w:color w:val="000000"/>
                <w:sz w:val="20"/>
              </w:rPr>
              <w:t>$</w:t>
            </w:r>
          </w:p>
        </w:tc>
        <w:tc>
          <w:tcPr>
            <w:tcW w:w="8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sans-serif" w:hAnsi="sans-serif"/>
                <w:b w:val="false"/>
                <w:color w:val="000000"/>
                <w:sz w:val="20"/>
              </w:rPr>
            </w:pPr>
            <w:r>
              <w:rPr>
                <w:rFonts w:ascii="sans-serif" w:hAnsi="sans-serif"/>
                <w:b w:val="false"/>
                <w:color w:val="000000"/>
                <w:sz w:val="20"/>
              </w:rPr>
              <w:t>243 </w:t>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(358,966)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401,452 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and accompanying pre-funded warrants, net of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8,581,250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161,763 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365,063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(56,211)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65,547,037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929,370 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(415,177)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513,958 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384,091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(55,436)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(55,436)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65,931,128 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939,940 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(470,613)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468,768 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62915"/>
                <wp:effectExtent l="0" t="0" r="0" b="0"/>
                <wp:wrapNone/>
                <wp:docPr id="12" name="Frame12"/>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BICARA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739"/>
        <w:gridCol w:w="2358"/>
        <w:gridCol w:w="2375"/>
        <w:gridCol w:w="211"/>
        <w:gridCol w:w="893"/>
        <w:gridCol w:w="109"/>
        <w:gridCol w:w="109"/>
        <w:gridCol w:w="109"/>
        <w:gridCol w:w="109"/>
        <w:gridCol w:w="211"/>
        <w:gridCol w:w="826"/>
        <w:gridCol w:w="156"/>
      </w:tblGrid>
      <w:tr>
        <w:trPr/>
        <w:tc>
          <w:tcPr>
            <w:tcW w:w="273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1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(64,234)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used in operating activities:</w:t>
            </w:r>
          </w:p>
        </w:tc>
        <w:tc>
          <w:tcPr>
            <w:tcW w:w="12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amortization of premiums and discounts on marketable securities</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 related party</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(2,204)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0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(81,714)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(53,700)</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(244,929)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161,000 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0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(84,049)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and accompanying pre-funded warrants, net of issuance costs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Proceeds from exercise of options</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165,677 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(53,105)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04"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96,685 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489,711 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436,606 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lease liability</w:t>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Vesting of early exercise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62915"/>
                <wp:effectExtent l="0" t="0" r="0" b="0"/>
                <wp:wrapNone/>
                <wp:docPr id="13" name="Frame13"/>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
        <w:jc w:val="left"/>
        <w:rPr>
          <w:rFonts w:ascii="Times New Roman;serif" w:hAnsi="Times New Roman;serif"/>
          <w:b/>
          <w:color w:val="000000"/>
          <w:sz w:val="20"/>
        </w:rPr>
      </w:pPr>
      <w:r>
        <w:rPr>
          <w:rFonts w:ascii="Times New Roman;serif" w:hAnsi="Times New Roman;serif"/>
          <w:b/>
          <w:color w:val="000000"/>
          <w:sz w:val="20"/>
        </w:rPr>
        <w:t>1.Description of Business, Organization, and Liquidity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Bicara Therapeutics Inc. (“Bicara” or the “Company”) was incorporated in the state of Delaware in December 2018 and is a clinical-stage biopharmaceutical company based in Boston, Massachusetts. The Company is committed to bringing transformative bifunctional therapies to patients with solid tumors. Its lead program ficerafusp alfa is a bifunctional antibody that combines a clinically validated epidermal growth factor receptor directed monoclonal antibody bound to a human transforming growth factor beta ligand trap.</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Since inception, the Company has operated in the preclinical and clinical stages and has devoted substantially all of its time and efforts to performing research and development activities, raising capital, and recruiting management and technical staff to support these operations. The Company is subject to risks and uncertainties common to early-stage companies in the biotechnology industry including, but not limited to, risks associated with the successful research, development and manufacturing of product candidates, competition from other companies, dependence on key personnel, protection of intellectual property,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our product development efforts are successful, it is uncertain when, if ever, the Company will realize significant revenue from product sales.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historically has funded its operations from the issuance of common stock in connection with its initial public offering (“IPO”), issuance of common stock in connection with its at-the-market offering program (the “ATM Program”), issuance of equity securities in a public offering in February 2026, redeemable convertible preferred stock and through debt financing.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September 16, 2024, the Company closed its IPO, through which it issued 20,125,000 shares of common stock with par value of $0.0001 per share and a purchase price of $18.00 per share. The Company raised net proceeds of $332.4 million from the issuance of common stock.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issued 1,604,000 shares of common stock with par value of $0.0001 per share through the ATM Program and raised net proceeds of $29.5 million.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issued and sold 8,581,250 shares of its common stock, including 1,406,250 shares pursuant to the exercise of the underwriters’ option to purchase additional shares, at a price to the public of $16.00 per share. Further, in lieu of common stock to certain investors, the Company sold pre-funded warrants to purchase 2,200,000 shares of common stock at a public offering price of $15.9999 per pre-funded warrant, which represents the per share public offering price of each share of common stock less the $0.0001 per share exercise price for each pre-funded warrant. As a result of the offering, the Company received approximately $161.8 million in net proceeds.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incurred operating losses since inception and expects such losses and negative operating cash flows to continue for the foreseeable future. As of June 30, 2026, the Company had cash, cash equivalents and marketable securities of $497.3 million and an accumulated deficit of $470.6 million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expects that its cash, cash equivalents and marketable securities as of June 30, 2026 of $497.3 million will be sufficient to fund the operating expenditures and capital expenditure requirements necessary to advance its research efforts and clinical trials for at least one year from the date of issuance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62915"/>
                <wp:effectExtent l="0" t="0" r="0" b="0"/>
                <wp:wrapNone/>
                <wp:docPr id="14" name="Frame14"/>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are prepared in conformity with accounting principles generally accepted in the United States of America (“U.S. GAAP”). Any reference in these notes to applicable guidance is meant to refer to the authoritative GAAP as found in the Accounting Standards Codification (“ASC”) and Accounting Standards Updates (“ASU”) of the Financial Accounting Standards Board (“FASB”). The accompanying condensed consolidated financial statements have been prepared on a going concern basis, which contemplates the realization of assets and the satisfaction of liabilities and commitments in the ordinary course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financial position, results of operations and cash flows of Bicara. The Company’s unaudited condensed consolidated financial statements are denominated in U.S. dollars. The unaudited condensed consolidated financial statements include the accounts of the Company and its wholly owned, controlled subsidiary. All intercompany transactions and balances have been eliminated in consolidation.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Unaudited Interim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June 30, 2026, condensed consolidated statements of operations and comprehensive loss, condensed consolidated statement of stockholders' equity for the three and six months ended June 30, 2026 and 2025, and condensed consolidated cash flows for the six months ended June 30, 2026 and 2025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position, results of operations and cash flows for the periods presented. The condensed consolidated results of operations for the three and six months ended June 30, 2026 are not necessarily indicative of the results to be expected for the full year or for any other future annual or interim period. The condensed consolidated balance sheet as of December 31, 2025, included herein, was derived from the audited consolidated financial statements as of that date. As permitted under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2025 (the "Form 10-K").</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Bicara is an “emerging growth company,” as defined in the Jumpstart Our Business Startups Act of 2012 (the "JOBS Act"), and we may take advantage of reduced reporting requirements that are otherwise applicable to public companies. The Company may take advantage of these exemptions until it is no longer an emerging growth company. Section 107 of the JOBS Act provides that an emerging growth company can take advantage of the extended transition period afforded by the JOBS Act for the implementation of new or revised accounting standards. Bicara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IPO or such earlier time that Bicara is no longer an emerging growth company. Bicara would cease to be an emerging growth company if it has more than $1.235 billion in total annual gross revenue, it has more than $700.0 million in market value of its stock held by non-affiliates (and it has been a public company for at least 12 months and has filed one annual report on Form 10-K), or it issues more than $1.0 billion of non-convertible debt securities over a three-year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management to make estimates and assumptions that affect the reported amounts of assets, liabilities, revenue, expenses and the related disclosure of contingent assets and liabilities as of and during the reporting period. The Company bases its estimates on historical experience when available and on other assumptions that management believes are reasonable under the circumstances. Significant estimates and assumptions reflected in these unaudited condensed consolidated financial statements include but are not limited to: the estimated costs of research and development activities, and the fair values of pre-IPO common stock and stock awards and associated stock-based compensation expense. The Company assesses estimates on an ongoing basis; however, actual results could materially differ from those estimates.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62915"/>
                <wp:effectExtent l="0" t="0" r="0" b="0"/>
                <wp:wrapNone/>
                <wp:docPr id="15" name="Frame15"/>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 consist of obligations of, and issues guaranteed by the U.S. Treasury, U.S. Agencies and U.S. Government Sponsored Enterprises.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are classified as available-for-sale and are carried at fair value. The Company classifies all available-for-sale securities as current assets. Marketable securities are classified as current assets because they are available to fund current operations.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Any unrealized holding gains or losses on debt securities, including their tax effect, are reported as components of Other comprehensive loss in the condensed consolidated statement of operations and comprehensive loss. Realized gains and losses, included in Interest and other income, net in the condensed consolidated statement of operations and comprehensive loss, are determined using the specific identification method for determining the cost of securities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Declines in fair value below amortized cost related to credit losses (i.e., impairment due to credit losses) are included in the condensed consolidated statement of operations and comprehensive loss, with a corresponding allowance established. If the estimate of expected credit losses decreases in subsequent periods, the Company will reverse the credit losses through current period earnings and adjust the allowance accordingly.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00" w:after="283"/>
        <w:jc w:val="both"/>
        <w:rPr/>
      </w:pPr>
      <w:r>
        <w:rPr>
          <w:rFonts w:ascii="Times New Roman;serif" w:hAnsi="Times New Roman;serif"/>
          <w:b w:val="false"/>
          <w:color w:val="000000"/>
          <w:sz w:val="20"/>
        </w:rPr>
        <w:t xml:space="preserve">Research and development costs are expensed as incurred in accordance with ASC 730, </w:t>
      </w: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(“ASC 730”). Research and development expenses include costs directly attributable to the conduct of research and development programs, including compensation costs, which includes salaries and benefits, stock-based compensation expense and the cost of services provided by outside contractors.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capitalizes advance payments for goods or services that will be used or rendered for future research and development activities and recognizes expense as the related goods are delivered or services are performed. The Company also records expenses and accruals for estimated costs of research and development activities, including third party contract services for clinical research and contract manufacturing. The Company bases its estimates on the best information available at the time. Costs for certain research and development activities are recognized based on the pattern of performance of the individual arrangements, which may differ from the pattern of billings incurred, and are reflected in the condensed consolidated financial statements as prepaid expenses or as accrued research and development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financial terms of these agreements are subject to negotiation, vary from contract to contract, and may result in uneven payment flows to the Company’s vendors. Billing terms and payments are reviewed by management to ensure estimates of outstanding obligations are appropriate as of period end. Tracking the progress of completion for clinical trial and contract manufacturing activities performed by third parties allows the Company to record the appropriate expense and accruals under the terms of the agreements.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related benefits, including share-based compensation expense, related to the Company's executive, finance and other support functions. Other general and administrative expenses include professional fees for legal, auditing, tax, consulting services, investor relations, IT and office expenses, rent and insurance.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jc w:val="both"/>
        <w:rPr/>
      </w:pPr>
      <w:r>
        <w:rPr>
          <w:rFonts w:ascii="Times New Roman;serif" w:hAnsi="Times New Roman;serif"/>
          <w:b w:val="false"/>
          <w:color w:val="000000"/>
          <w:sz w:val="20"/>
        </w:rPr>
        <w:t>The Company accounts for stock-based employee and nonemployee compensation awards in accordance with provisions of ASC 718, </w:t>
      </w:r>
      <w:r>
        <w:rPr>
          <w:rFonts w:ascii="Times New Roman;serif" w:hAnsi="Times New Roman;serif"/>
          <w:b w:val="false"/>
          <w:i/>
          <w:color w:val="000000"/>
          <w:sz w:val="20"/>
        </w:rPr>
        <w:t>Compensation—Stock Compensation </w:t>
      </w:r>
      <w:r>
        <w:rPr>
          <w:rFonts w:ascii="Times New Roman;serif" w:hAnsi="Times New Roman;serif"/>
          <w:b w:val="false"/>
          <w:color w:val="000000"/>
          <w:sz w:val="20"/>
        </w:rPr>
        <w:t>(“ASC 718”)</w:t>
      </w:r>
      <w:r>
        <w:rPr>
          <w:rFonts w:ascii="Times New Roman;serif" w:hAnsi="Times New Roman;serif"/>
          <w:b w:val="false"/>
          <w:i/>
          <w:color w:val="000000"/>
          <w:sz w:val="20"/>
        </w:rPr>
        <w:t>. </w:t>
      </w:r>
      <w:r>
        <w:rPr>
          <w:rFonts w:ascii="Times New Roman;serif" w:hAnsi="Times New Roman;serif"/>
          <w:b w:val="false"/>
          <w:color w:val="000000"/>
          <w:sz w:val="20"/>
        </w:rPr>
        <w:t xml:space="preserve">ASC 718 requires the recognition of stock-based compensation expense, using a fair-value based method, for costs related to all stock-based compensation awards. We use the Black-Scholes option-pricing model to determine the fair value of options. The Black-Scholes option-pricing model requires the use of judgment to develop input assumptions, some of which are highly subjective, including: (i) the fair value of our common stock on the date of grant; (ii) the expected term of the award; (iii) the expected volatility; (iv) the risk-free interest rate; and (v) expected dividends. In applying these assumptions, we consider the following factors: </w:t>
      </w:r>
    </w:p>
    <w:p>
      <w:pPr>
        <w:pStyle w:val="TextBody"/>
        <w:bidi w:val="0"/>
        <w:spacing w:lineRule="auto" w:line="288" w:before="200" w:after="200"/>
        <w:jc w:val="both"/>
        <w:rPr/>
      </w:pPr>
      <w:r>
        <w:rPr>
          <w:rFonts w:ascii="Times New Roman;serif" w:hAnsi="Times New Roman;serif"/>
          <w:b w:val="false"/>
          <w:i/>
          <w:color w:val="000000"/>
          <w:sz w:val="20"/>
        </w:rPr>
        <w:t>Fair Value of Common Stock</w:t>
      </w:r>
      <w:r>
        <w:rPr>
          <w:rFonts w:ascii="Times New Roman;serif" w:hAnsi="Times New Roman;serif"/>
          <w:b w:val="false"/>
          <w:color w:val="000000"/>
          <w:sz w:val="20"/>
        </w:rPr>
        <w:t>: The Company’s common stock is listed on the Nasdaq Global Market and its value is determined by the market price on the Nasdaq Global Market as of the date of the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62915"/>
                <wp:effectExtent l="0" t="0" r="0" b="0"/>
                <wp:wrapNone/>
                <wp:docPr id="16" name="Frame16"/>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i/>
          <w:color w:val="000000"/>
          <w:sz w:val="20"/>
        </w:rPr>
        <w:t>Expected Term: </w:t>
      </w:r>
      <w:r>
        <w:rPr>
          <w:rFonts w:ascii="Times New Roman;serif" w:hAnsi="Times New Roman;serif"/>
          <w:b w:val="false"/>
          <w:color w:val="000000"/>
          <w:sz w:val="20"/>
        </w:rPr>
        <w:t>The expected term represents the period that the options granted are expected to be outstanding and is determined using the simplified method (based on the mid-point between the vesting date and the end of the contractual term). The expected life is applied to the stock option grant group as a whole as we do not expect substantially different exercise or post-vesting termination behavior among our employee population.</w:t>
      </w:r>
    </w:p>
    <w:p>
      <w:pPr>
        <w:pStyle w:val="TextBody"/>
        <w:bidi w:val="0"/>
        <w:spacing w:lineRule="auto" w:line="288" w:before="200" w:after="283"/>
        <w:jc w:val="both"/>
        <w:rPr/>
      </w:pPr>
      <w:r>
        <w:rPr>
          <w:rFonts w:ascii="Times New Roman;serif" w:hAnsi="Times New Roman;serif"/>
          <w:b w:val="false"/>
          <w:i/>
          <w:color w:val="000000"/>
          <w:sz w:val="20"/>
          <w:shd w:fill="FFFFFF" w:val="clear"/>
        </w:rPr>
        <w:t>Expected Volatility:</w:t>
      </w:r>
      <w:r>
        <w:rPr>
          <w:color w:val="000000"/>
          <w:shd w:fill="FFFFFF" w:val="clear"/>
        </w:rPr>
        <w:t> </w:t>
      </w:r>
      <w:r>
        <w:rPr>
          <w:rFonts w:ascii="Times New Roman;serif" w:hAnsi="Times New Roman;serif"/>
          <w:b w:val="false"/>
          <w:color w:val="000000"/>
          <w:sz w:val="20"/>
          <w:shd w:fill="FFFFFF" w:val="clear"/>
        </w:rPr>
        <w:t>We used an average historical stock price volatility of comparable public companies within the biotechnology and pharmaceutical industry that were deemed to be representative of future stock price trends due to absence of an active market for the Company’s common stock.</w:t>
      </w:r>
    </w:p>
    <w:p>
      <w:pPr>
        <w:pStyle w:val="TextBody"/>
        <w:bidi w:val="0"/>
        <w:spacing w:lineRule="auto" w:line="288" w:before="200" w:after="283"/>
        <w:jc w:val="both"/>
        <w:rPr/>
      </w:pPr>
      <w:r>
        <w:rPr>
          <w:rFonts w:ascii="Times New Roman;serif" w:hAnsi="Times New Roman;serif"/>
          <w:b w:val="false"/>
          <w:i/>
          <w:color w:val="000000"/>
          <w:sz w:val="20"/>
        </w:rPr>
        <w:t>Risk-Free Interest Rate:</w:t>
      </w:r>
      <w:r>
        <w:rPr>
          <w:color w:val="000000"/>
        </w:rPr>
        <w:t> </w:t>
      </w:r>
      <w:r>
        <w:rPr>
          <w:rFonts w:ascii="Times New Roman;serif" w:hAnsi="Times New Roman;serif"/>
          <w:b w:val="false"/>
          <w:color w:val="000000"/>
          <w:sz w:val="20"/>
        </w:rPr>
        <w:t>We based the risk-free interest rate over the expected term of the options based on the constant maturity rate of U.S. Treasury securities with similar maturities as of the date of the grant.</w:t>
      </w:r>
    </w:p>
    <w:p>
      <w:pPr>
        <w:pStyle w:val="TextBody"/>
        <w:bidi w:val="0"/>
        <w:spacing w:lineRule="auto" w:line="288" w:before="200" w:after="283"/>
        <w:jc w:val="both"/>
        <w:rPr/>
      </w:pPr>
      <w:r>
        <w:rPr>
          <w:rFonts w:ascii="Times New Roman;serif" w:hAnsi="Times New Roman;serif"/>
          <w:b w:val="false"/>
          <w:i/>
          <w:color w:val="000000"/>
          <w:sz w:val="20"/>
        </w:rPr>
        <w:t>Expected Dividend:</w:t>
      </w:r>
      <w:r>
        <w:rPr>
          <w:color w:val="000000"/>
        </w:rPr>
        <w:t> </w:t>
      </w:r>
      <w:r>
        <w:rPr>
          <w:rFonts w:ascii="Times New Roman;serif" w:hAnsi="Times New Roman;serif"/>
          <w:b w:val="false"/>
          <w:color w:val="000000"/>
          <w:sz w:val="20"/>
        </w:rPr>
        <w:t>We have not paid and do not anticipate paying any dividends in the near future. Therefore, the expected dividend yield was zero.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awards that vest based solely on achievement of a service condition, the Company recognizes expense on a straight-line basis over the period during which the award holder provides such services. The Company recognizes forfeitures as they occur and reverses any previously recognized compensation cost associated with forfeited awards. The Company accounts for share-based compensation for awards granted to non-employees in a similar fashion to the way it accounts for share-based compensation awards to employees.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assesses warrants to determine whether they should be classified as equity or liability. If the classification is determined to be equity, proceeds received for the warrants are recorded as an increase to additional paid-in capital in the condensed consolidated balance sheets. If classified as a liability, the Company records the warrant as a liability on its consolidated balance sheet and remeasures this liability to fair value at each reporting date and recognizes changes in the fair value of the warrant in earnings.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Net Loss Per Common Share</w:t>
      </w:r>
    </w:p>
    <w:p>
      <w:pPr>
        <w:pStyle w:val="TextBody"/>
        <w:bidi w:val="0"/>
        <w:spacing w:lineRule="auto" w:line="319" w:before="0" w:after="200"/>
        <w:jc w:val="both"/>
        <w:rPr/>
      </w:pPr>
      <w:r>
        <w:rPr>
          <w:rFonts w:ascii="Times New Roman;serif" w:hAnsi="Times New Roman;serif"/>
          <w:b w:val="false"/>
          <w:color w:val="000000"/>
          <w:sz w:val="20"/>
        </w:rPr>
        <w:t>Basic net loss per common share is determined by dividing the net loss applicable to common shareholders by the weighted average common shares outstanding during the period. The pre-funded warrants to purchase 2,200,000 shares of common stock issued in February 2026 and outstanding as of June 30, 2026 (see Note 8) were included in computing the weighted average common shares outstanding used in calculating basic and diluted loss per share. Outstanding common stock options are e</w:t>
      </w:r>
      <w:r>
        <w:rPr>
          <w:rFonts w:ascii="Times New Roman;serif" w:hAnsi="Times New Roman;serif"/>
          <w:b w:val="false"/>
          <w:color w:val="000000"/>
          <w:sz w:val="20"/>
          <w:shd w:fill="FFFFFF" w:val="clear"/>
        </w:rPr>
        <w:t xml:space="preserve">xcluded from the calculation of diluted net loss per share when their effect would be anti-dilutive. For the three and six months ended June 30, 2026 and 2025, the </w:t>
      </w:r>
      <w:r>
        <w:rPr>
          <w:rFonts w:ascii="Times New Roman;serif" w:hAnsi="Times New Roman;serif"/>
          <w:b w:val="false"/>
          <w:color w:val="000000"/>
          <w:sz w:val="20"/>
        </w:rPr>
        <w:t xml:space="preserve">11,737,518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8,797,689 options outstanding, respectively, </w:t>
      </w:r>
      <w:r>
        <w:rPr>
          <w:rFonts w:ascii="Times New Roman;serif" w:hAnsi="Times New Roman;serif"/>
          <w:b w:val="false"/>
          <w:color w:val="000000"/>
          <w:sz w:val="20"/>
          <w:shd w:fill="FFFFFF" w:val="clear"/>
        </w:rPr>
        <w:t>have been excluded from the computations of diluted weighted average shares outstanding as they would be anti-dilutive.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segment. The Company’s chief operating decision maker, its Chief Executive Officer, manages the Company’s operations on a consolidated basis for the purpose of allocating resources.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new accounting standards as they are issued by the FASB or other standard-setting bodies. The Company did not identify any new standards during the quarter ended June 30, 2026 that it believes will have a material impact on the Company’s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Accounting Pronouncements Issued and Not Adopted </w:t>
      </w:r>
    </w:p>
    <w:p>
      <w:pPr>
        <w:pStyle w:val="TextBody"/>
        <w:bidi w:val="0"/>
        <w:spacing w:lineRule="auto" w:line="288" w:before="200" w:after="283"/>
        <w:jc w:val="both"/>
        <w:rPr/>
      </w:pPr>
      <w:r>
        <w:rPr>
          <w:rFonts w:ascii="Times New Roman;serif" w:hAnsi="Times New Roman;serif"/>
          <w:b w:val="false"/>
          <w:color w:val="000000"/>
          <w:sz w:val="20"/>
        </w:rPr>
        <w:t>Accounting Standards Update 2024-03—</w:t>
      </w:r>
      <w:r>
        <w:rPr>
          <w:rFonts w:ascii="Times New Roman;serif" w:hAnsi="Times New Roman;serif"/>
          <w:b w:val="false"/>
          <w:i/>
          <w:color w:val="000000"/>
          <w:sz w:val="20"/>
        </w:rPr>
        <w:t>Disaggregation of Income Statement Expenses (DISE)</w:t>
      </w:r>
      <w:r>
        <w:rPr>
          <w:rFonts w:ascii="Times New Roman;serif" w:hAnsi="Times New Roman;serif"/>
          <w:b w:val="false"/>
          <w:color w:val="000000"/>
          <w:sz w:val="20"/>
        </w:rPr>
        <w:t>. This new guidance requires all public entities to incorporate disclosures about specific types of expenses included in the expense captions presented on the face of the income statement as well as disclosures about selling expenses. The standard is effective prospectively for fiscal years beginning after December 15, 2026, and interim reporting periods beginning after December 15, 2027. Early adoption and retrospective application are permitted. We are currently evaluating the impact that ASU 2024-03 will have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62915"/>
                <wp:effectExtent l="0" t="0" r="0" b="0"/>
                <wp:wrapNone/>
                <wp:docPr id="17" name="Frame17"/>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reviewed additional recent accounting pronouncements and concluded they are either not applicable or that the Company does not expect adoption to have a material effect on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that have been measured at fair value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852"/>
        <w:gridCol w:w="1626"/>
        <w:gridCol w:w="1633"/>
        <w:gridCol w:w="211"/>
        <w:gridCol w:w="721"/>
        <w:gridCol w:w="109"/>
        <w:gridCol w:w="109"/>
        <w:gridCol w:w="109"/>
        <w:gridCol w:w="109"/>
        <w:gridCol w:w="211"/>
        <w:gridCol w:w="826"/>
        <w:gridCol w:w="109"/>
        <w:gridCol w:w="109"/>
        <w:gridCol w:w="109"/>
        <w:gridCol w:w="109"/>
        <w:gridCol w:w="212"/>
        <w:gridCol w:w="410"/>
        <w:gridCol w:w="109"/>
        <w:gridCol w:w="109"/>
        <w:gridCol w:w="109"/>
        <w:gridCol w:w="109"/>
        <w:gridCol w:w="211"/>
        <w:gridCol w:w="826"/>
        <w:gridCol w:w="158"/>
      </w:tblGrid>
      <w:tr>
        <w:trPr/>
        <w:tc>
          <w:tcPr>
            <w:tcW w:w="185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0"/>
              </w:rPr>
            </w:pPr>
            <w:r>
              <w:rPr>
                <w:rFonts w:ascii="Times New Roman;serif" w:hAnsi="Times New Roman;serif"/>
                <w:b/>
                <w:color w:val="000000"/>
                <w:sz w:val="20"/>
              </w:rPr>
              <w:t>Description</w:t>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511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Money market funds included within cash and cash equivalents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87,832 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87,832 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87,832 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488,492 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4"/>
        <w:gridCol w:w="1593"/>
        <w:gridCol w:w="1599"/>
        <w:gridCol w:w="211"/>
        <w:gridCol w:w="721"/>
        <w:gridCol w:w="109"/>
        <w:gridCol w:w="109"/>
        <w:gridCol w:w="109"/>
        <w:gridCol w:w="109"/>
        <w:gridCol w:w="211"/>
        <w:gridCol w:w="826"/>
        <w:gridCol w:w="109"/>
        <w:gridCol w:w="109"/>
        <w:gridCol w:w="109"/>
        <w:gridCol w:w="109"/>
        <w:gridCol w:w="212"/>
        <w:gridCol w:w="410"/>
        <w:gridCol w:w="109"/>
        <w:gridCol w:w="109"/>
        <w:gridCol w:w="109"/>
        <w:gridCol w:w="109"/>
        <w:gridCol w:w="229"/>
        <w:gridCol w:w="899"/>
        <w:gridCol w:w="172"/>
      </w:tblGrid>
      <w:tr>
        <w:trPr/>
        <w:tc>
          <w:tcPr>
            <w:tcW w:w="181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color w:val="000000"/>
                <w:sz w:val="20"/>
              </w:rPr>
            </w:pPr>
            <w:r>
              <w:rPr>
                <w:rFonts w:ascii="Times New Roman;serif" w:hAnsi="Times New Roman;serif"/>
                <w:b/>
                <w:color w:val="000000"/>
                <w:sz w:val="20"/>
              </w:rPr>
              <w:t>Description</w:t>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00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318,116 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Money market funds included within cash and cash equivalents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93,595 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93,595 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318,116 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411,711 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cash equivalents consisted of money market funds. During the three and six months ended June 30, 2026 and the year ended December 31, 2025, there were no transfers between Level 1, Level 2 and Level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4.    Marketable Securities</w:t>
      </w:r>
    </w:p>
    <w:p>
      <w:pPr>
        <w:pStyle w:val="TextBody"/>
        <w:bidi w:val="0"/>
        <w:spacing w:before="200" w:after="283"/>
        <w:jc w:val="both"/>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available-for-sale marketable securities by type of security was as follows (in thousands):</w:t>
      </w:r>
    </w:p>
    <w:tbl>
      <w:tblPr>
        <w:tblW w:w="10205" w:type="dxa"/>
        <w:jc w:val="left"/>
        <w:tblInd w:w="0" w:type="dxa"/>
        <w:tblLayout w:type="fixed"/>
        <w:tblCellMar>
          <w:top w:w="28" w:type="dxa"/>
          <w:left w:w="28" w:type="dxa"/>
          <w:bottom w:w="28" w:type="dxa"/>
          <w:right w:w="28" w:type="dxa"/>
        </w:tblCellMar>
      </w:tblPr>
      <w:tblGrid>
        <w:gridCol w:w="1303"/>
        <w:gridCol w:w="1142"/>
        <w:gridCol w:w="1148"/>
        <w:gridCol w:w="109"/>
        <w:gridCol w:w="109"/>
        <w:gridCol w:w="109"/>
        <w:gridCol w:w="243"/>
        <w:gridCol w:w="952"/>
        <w:gridCol w:w="125"/>
        <w:gridCol w:w="109"/>
        <w:gridCol w:w="109"/>
        <w:gridCol w:w="109"/>
        <w:gridCol w:w="399"/>
        <w:gridCol w:w="768"/>
        <w:gridCol w:w="207"/>
        <w:gridCol w:w="109"/>
        <w:gridCol w:w="109"/>
        <w:gridCol w:w="109"/>
        <w:gridCol w:w="371"/>
        <w:gridCol w:w="849"/>
        <w:gridCol w:w="193"/>
        <w:gridCol w:w="109"/>
        <w:gridCol w:w="109"/>
        <w:gridCol w:w="109"/>
        <w:gridCol w:w="211"/>
        <w:gridCol w:w="826"/>
        <w:gridCol w:w="160"/>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U.S. Treasury Bills with original maturity of one year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134,091 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134,051 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 S. Treasury Bills with original maturity of one to two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267,135 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266,609 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401,226 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62915"/>
                <wp:effectExtent l="0" t="0" r="0" b="0"/>
                <wp:wrapNone/>
                <wp:docPr id="18" name="Frame18"/>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0"/>
        <w:gridCol w:w="1140"/>
        <w:gridCol w:w="1146"/>
        <w:gridCol w:w="109"/>
        <w:gridCol w:w="109"/>
        <w:gridCol w:w="109"/>
        <w:gridCol w:w="243"/>
        <w:gridCol w:w="953"/>
        <w:gridCol w:w="125"/>
        <w:gridCol w:w="109"/>
        <w:gridCol w:w="109"/>
        <w:gridCol w:w="109"/>
        <w:gridCol w:w="369"/>
        <w:gridCol w:w="817"/>
        <w:gridCol w:w="191"/>
        <w:gridCol w:w="109"/>
        <w:gridCol w:w="109"/>
        <w:gridCol w:w="109"/>
        <w:gridCol w:w="411"/>
        <w:gridCol w:w="792"/>
        <w:gridCol w:w="213"/>
        <w:gridCol w:w="109"/>
        <w:gridCol w:w="109"/>
        <w:gridCol w:w="109"/>
        <w:gridCol w:w="211"/>
        <w:gridCol w:w="826"/>
        <w:gridCol w:w="160"/>
      </w:tblGrid>
      <w:tr>
        <w:trPr/>
        <w:tc>
          <w:tcPr>
            <w:tcW w:w="1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2" w:type="dxa"/>
            <w:gridSpan w:val="21"/>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U.S. Treasury Bills with original maturity of one year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233,672 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233,818 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U.S. Treasury Bills with original maturity of one to two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84,201 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84,298 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317,873 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318,116 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available-for-sale securities in an unrealized loss position, aggregated by type and length of time in a continuous unrealized position (in thousands):</w:t>
      </w:r>
    </w:p>
    <w:tbl>
      <w:tblPr>
        <w:tblW w:w="10205" w:type="dxa"/>
        <w:jc w:val="left"/>
        <w:tblInd w:w="0" w:type="dxa"/>
        <w:tblLayout w:type="fixed"/>
        <w:tblCellMar>
          <w:top w:w="28" w:type="dxa"/>
          <w:left w:w="28" w:type="dxa"/>
          <w:bottom w:w="28" w:type="dxa"/>
          <w:right w:w="28" w:type="dxa"/>
        </w:tblCellMar>
      </w:tblPr>
      <w:tblGrid>
        <w:gridCol w:w="491"/>
        <w:gridCol w:w="431"/>
        <w:gridCol w:w="433"/>
        <w:gridCol w:w="109"/>
        <w:gridCol w:w="109"/>
        <w:gridCol w:w="109"/>
        <w:gridCol w:w="211"/>
        <w:gridCol w:w="826"/>
        <w:gridCol w:w="109"/>
        <w:gridCol w:w="109"/>
        <w:gridCol w:w="109"/>
        <w:gridCol w:w="109"/>
        <w:gridCol w:w="325"/>
        <w:gridCol w:w="744"/>
        <w:gridCol w:w="169"/>
        <w:gridCol w:w="109"/>
        <w:gridCol w:w="109"/>
        <w:gridCol w:w="109"/>
        <w:gridCol w:w="240"/>
        <w:gridCol w:w="461"/>
        <w:gridCol w:w="123"/>
        <w:gridCol w:w="111"/>
        <w:gridCol w:w="111"/>
        <w:gridCol w:w="111"/>
        <w:gridCol w:w="360"/>
        <w:gridCol w:w="692"/>
        <w:gridCol w:w="186"/>
        <w:gridCol w:w="109"/>
        <w:gridCol w:w="109"/>
        <w:gridCol w:w="109"/>
        <w:gridCol w:w="211"/>
        <w:gridCol w:w="826"/>
        <w:gridCol w:w="109"/>
        <w:gridCol w:w="109"/>
        <w:gridCol w:w="109"/>
        <w:gridCol w:w="109"/>
        <w:gridCol w:w="319"/>
        <w:gridCol w:w="729"/>
        <w:gridCol w:w="242"/>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12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color w:val="000000"/>
              </w:rPr>
            </w:pPr>
            <w:r>
              <w:rPr>
                <w:color w:val="000000"/>
              </w:rPr>
              <w:t>—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400,660 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summarized in the tables immediately above, the Company held nineteen debt securities that were in an unrealized loss position as of June 30, 2026. The unrealized losses at June 30, 2026 were attributable to changes in interest rates and do not represent credit losses. The Company does not intend to sell these securities, and it is not more likely than not that it will be required to sell them before recovery of their amortized cost basis. The Company held no debt securities that were in an unrealized loss position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16, 2023, the Company entered into a 2.5 year lease for 4,617 square feet of office space in Boston, Massachusetts (the “Lease Agreement”). In October 2024, the Company amended its Lease Agreement to lease an additional 4,744 square feet of office space in order to expand the Company’s headquarters to 9,361 square feet of office space. The lease required a security deposit totaling $0.1 million, which the Company has met with cash on deposit.</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2, 2025, the Company entered into a Sublease Agreement (the “Sublease”) with J.W. Childs Associates, L.P., as sublandlord, effective on June 4, 2025. Under the Sublease, the Company leased approximately 9,682 square feet of additional office space as part of its corporate headquarters, through June 30, 2027. The base rent of the Sublease is approximately $0.5 million per year. The Sublease required an immaterial security deposit, which the Company has satisfied with cash on deposit.</w:t>
      </w:r>
    </w:p>
    <w:p>
      <w:pPr>
        <w:pStyle w:val="TextBody"/>
        <w:bidi w:val="0"/>
        <w:spacing w:lineRule="auto" w:line="288" w:before="0" w:after="200"/>
        <w:jc w:val="both"/>
        <w:rPr/>
      </w:pPr>
      <w:r>
        <w:rPr>
          <w:rFonts w:ascii="Times New Roman;serif" w:hAnsi="Times New Roman;serif"/>
          <w:b w:val="false"/>
          <w:color w:val="000000"/>
          <w:sz w:val="20"/>
        </w:rPr>
        <w:t xml:space="preserve">On June 3, 2025, the Company entered into a second amendment to the Lease Agreement (the Lease Agreement, together with all amendments, the “Amended Lease”) to extend the term for the 9,361 square feet of office space leased under the Amended Lease through June 30, 2027. The modification of the Lease Agreement required the Company to remeasure the value of the asset and liability in accordance with ASC 842, </w:t>
      </w:r>
      <w:r>
        <w:rPr>
          <w:rFonts w:ascii="Times New Roman;serif" w:hAnsi="Times New Roman;serif"/>
          <w:b w:val="false"/>
          <w:i/>
          <w:color w:val="000000"/>
          <w:sz w:val="20"/>
        </w:rPr>
        <w:t>Leases</w:t>
      </w:r>
      <w:r>
        <w:rPr>
          <w:rFonts w:ascii="Times New Roman;serif" w:hAnsi="Times New Roman;serif"/>
          <w:b w:val="false"/>
          <w:color w:val="000000"/>
          <w:sz w:val="20"/>
        </w:rPr>
        <w:t>. The base rent under the Amended Lease continues to be approximately $0.6 million per year. The remeasurement did not have a material impact on the Company's right-of-use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62915"/>
                <wp:effectExtent l="0" t="0" r="0" b="0"/>
                <wp:wrapNone/>
                <wp:docPr id="19" name="Frame19"/>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6.     Accrued Expenses and Other Current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438" w:type="dxa"/>
        <w:jc w:val="left"/>
        <w:tblInd w:w="0" w:type="dxa"/>
        <w:tblLayout w:type="fixed"/>
        <w:tblCellMar>
          <w:top w:w="28" w:type="dxa"/>
          <w:left w:w="28" w:type="dxa"/>
          <w:bottom w:w="28" w:type="dxa"/>
          <w:right w:w="28" w:type="dxa"/>
        </w:tblCellMar>
      </w:tblPr>
      <w:tblGrid>
        <w:gridCol w:w="1354"/>
        <w:gridCol w:w="1187"/>
        <w:gridCol w:w="1193"/>
        <w:gridCol w:w="397"/>
        <w:gridCol w:w="335"/>
        <w:gridCol w:w="341"/>
        <w:gridCol w:w="109"/>
        <w:gridCol w:w="109"/>
        <w:gridCol w:w="109"/>
        <w:gridCol w:w="580"/>
        <w:gridCol w:w="299"/>
        <w:gridCol w:w="425"/>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 and payroll related expenses</w:t>
            </w:r>
          </w:p>
        </w:tc>
        <w:tc>
          <w:tcPr>
            <w:tcW w:w="7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7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lawsuits, arbitrations, claims, investigations and proceedings, consisting of intellectual property, commercial, employment and other matters, which arise in the ordinary course of business. The Company makes provisions for liabilities when it is both probable that a liability has been incurred and the amount of the loss can be reasonably estimated.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October 22, 2024, a complaint was filed in federal district court in the District of Massachusetts by Y-Trap, Inc. ("Y-Trap"), naming as defendants the Company and Biocon Ltd ("Biocon"), captioned Y-Trap, Inc. v. Biocon Ltd and Bicara Therapeutics Inc., No. 24-cv-12678 (D. Mass.). On January 31, 2025, Y-Trap filed its operative amended complaint. The operative complaint alleges a claim against defendants for correction of inventorship of a number of patents based on a license from The Johns Hopkins University, including patents licensed to the Company relating to ficerafusp alfa. The complaint also alleges claims against defendants for unfair trade practices pursuant to Chapter 93A of the Massachusetts General Laws, unjust enrichment, and civil conspiracy. The operative complaint seeks, among other things, damages (including compensatory, enhanced, and punitive damages), an order correcting the inventorship of the patents at issue, costs and attorney’s fees, and other equitable and injunctive relief. On February 28, 2025, Biocon and Bicara moved to dismiss all of Y-Trap’s claims. On September 30, 2025, the court denied Bicara's motion. On October 30, 2025, Bicara answered the operative complaint, and discovery is ongoing. The Company will continue to vigorously defend against this litigation.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15, 2026, the Patent Trial and Appeal Board (“PTAB”) of the United States Patent and Trademark Office instituted a post-grant review petition brought by the Company against The John Hopkins University, No. PGR2026-00025, concerning a patent in a family alleged to be licensed to Y-Trap, U.S. Patent 12,295,968 (“the ’968 patent”). The Company challenges all claims of the ’968 patent under 35 U.S.C. § 112. It is anticipated that the PTAB will issue a final written decision on or before July 14, 2027.</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does not have contingency reserves established for any litigation liabilities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10,000,000 shares of preferred stock authorized for issuance, par value $0.0001 per share. As of June 30, 2026 and December 31, 2025, no shares of preferred stock were issued or outstanding.</w:t>
      </w:r>
    </w:p>
    <w:p>
      <w:pPr>
        <w:pStyle w:val="TextBody"/>
        <w:bidi w:val="0"/>
        <w:spacing w:lineRule="auto" w:line="319"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319" w:before="0" w:after="200"/>
        <w:jc w:val="both"/>
        <w:rPr/>
      </w:pPr>
      <w:r>
        <w:rPr>
          <w:rFonts w:ascii="Times New Roman;serif" w:hAnsi="Times New Roman;serif"/>
          <w:b w:val="false"/>
          <w:color w:val="000000"/>
          <w:sz w:val="20"/>
        </w:rPr>
        <w:t xml:space="preserve">The Company has 500,000,000 shares of Common Stock authorized for issuance, par value $0.0001 per share.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65,931,128 and 56,600,724 sha</w:t>
      </w:r>
      <w:r>
        <w:rPr>
          <w:rFonts w:ascii="Times New Roman;serif" w:hAnsi="Times New Roman;serif"/>
          <w:b w:val="false"/>
          <w:color w:val="000000"/>
          <w:sz w:val="20"/>
          <w:shd w:fill="FFFFFF" w:val="clear"/>
        </w:rPr>
        <w:t>res were issued and</w:t>
      </w:r>
      <w:r>
        <w:rPr>
          <w:color w:val="000000"/>
        </w:rPr>
        <w:t xml:space="preserve"> </w:t>
      </w:r>
      <w:r>
        <w:rPr>
          <w:rFonts w:ascii="Times New Roman;serif" w:hAnsi="Times New Roman;serif"/>
          <w:b w:val="false"/>
          <w:color w:val="000000"/>
          <w:sz w:val="20"/>
        </w:rPr>
        <w:t xml:space="preserve">outstanding, respectively.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February 2026 Offering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62915"/>
                <wp:effectExtent l="0" t="0" r="0" b="0"/>
                <wp:wrapNone/>
                <wp:docPr id="20" name="Frame20"/>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issued and sold 8,581,250 shares of its common stock, including 1,406,250 shares pursuant to the exercise of the underwriters’ option to purchase additional shares, at a price to the public of $16.00 per share, and pre-funded warrants to purchase 2,200,000 shares of common stock (the "pre-funded warrants"), at a public offering price of $15.9999 per pre-funded warrant, which represents the per share public offering price of each share of common stock in the offering, less the $0.0001 per share exercise price for each pre-funded warrant.</w:t>
      </w:r>
    </w:p>
    <w:p>
      <w:pPr>
        <w:pStyle w:val="TextBody"/>
        <w:bidi w:val="0"/>
        <w:spacing w:lineRule="auto" w:line="319" w:before="0" w:after="200"/>
        <w:jc w:val="both"/>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Subject to certain requirements, the pre-funded warrants, sold in the Company's February 2026 offering, can be exercised by the holder at anytime. As of June 30, 2026, there have not been any exercises of the pre-funded warrants.</w:t>
      </w:r>
    </w:p>
    <w:p>
      <w:pPr>
        <w:pStyle w:val="TextBody"/>
        <w:bidi w:val="0"/>
        <w:spacing w:lineRule="auto" w:line="288" w:before="0" w:after="200"/>
        <w:jc w:val="both"/>
        <w:rPr/>
      </w:pPr>
      <w:r>
        <w:rPr>
          <w:rFonts w:ascii="Times New Roman;serif" w:hAnsi="Times New Roman;serif"/>
          <w:b w:val="false"/>
          <w:color w:val="000000"/>
          <w:sz w:val="20"/>
        </w:rPr>
        <w:t xml:space="preserve">The pre-funded warrants meet the criteria to be classified as an equity instrument under ASC 815-40, </w:t>
      </w:r>
      <w:r>
        <w:rPr>
          <w:rFonts w:ascii="Times New Roman;serif" w:hAnsi="Times New Roman;serif"/>
          <w:b w:val="false"/>
          <w:i/>
          <w:color w:val="000000"/>
          <w:sz w:val="20"/>
        </w:rPr>
        <w:t>Derivatives and Hedging — Contracts in Entity’s Own Equity</w:t>
      </w:r>
      <w:r>
        <w:rPr>
          <w:rFonts w:ascii="Times New Roman;serif" w:hAnsi="Times New Roman;serif"/>
          <w:b w:val="false"/>
          <w:color w:val="000000"/>
          <w:sz w:val="20"/>
        </w:rPr>
        <w:t>, and funds received were recorded as an increase in additional paid-in capital in the condensed consolidated balance sheets. Funds received upon exercise of warrants will be recorded as common stock in the condensed consolidated balance sheets as the exercise price represents the par value of the underlying common stock.</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At-The-Market Program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filed a shelf registration statement on Form S-3 (the “Registration Statement”), with the SEC covering the offering of up to $400.0 million of common stock, preferred stock, debt securities, warrants and/or units. The Registration Statement was declared effective by the SEC on November 26, 2025. Concurrent with the filing of the Registration Statement, the Company entered into a sales agreement, dated October 3, 2025, by and between the Company and TD Securities (USA) LLC, acting as sales agent, to establish the ATM Program, pursuant to which the Company may offer and sell shares of its common stock from time to time. In connection with the ATM Program, the Company filed a prospectus with the Registration Statement for the offer and sale of up to $150.0 million of shares of common stock from time to time through the sales agent. The Company will pay the agent a commission rate up to 3% of the gross proceeds of any shares sold and has agreed to provide the sales agent with customary indemnification and contributions against certain liabilities. As of June 30, 2026, the Company had remaining available capacity for share issuances of up to $120.0 million under the ATM Program. During the three and six months ended June 30, 2026, there were no sales under the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2024 Stock Option and Grant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2024, in connection with the Company’s IPO, the board of directors adopted, and the Company’s shareholders approved the 2024 Stock Option and Grant Plan (the “2024 Plan”) under which the Company may grant equity-based incentive awards to the Company’s employees, officers, directors, consultants and other key persons of the Company and its affiliates upon whose judgment, initiative, and efforts the Company largely depends for the successful conduct of its business. Following the effectiveness of the 2024 Plan, no shares remained available for future issuance under the 2019 Stock Option and Grant Plan (as amended, the “2019 Plan”). Any other options or awards outstanding under the 2019 Plan remain outstanding and effective.</w:t>
      </w:r>
    </w:p>
    <w:p>
      <w:pPr>
        <w:pStyle w:val="TextBody"/>
        <w:bidi w:val="0"/>
        <w:spacing w:before="0" w:after="0"/>
        <w:jc w:val="both"/>
        <w:rPr/>
      </w:pPr>
      <w:r>
        <w:rPr/>
      </w:r>
    </w:p>
    <w:p>
      <w:pPr>
        <w:pStyle w:val="TextBody"/>
        <w:bidi w:val="0"/>
        <w:spacing w:lineRule="auto" w:line="319" w:before="0" w:after="200"/>
        <w:jc w:val="both"/>
        <w:rPr/>
      </w:pPr>
      <w:r>
        <w:rPr>
          <w:rFonts w:ascii="Times New Roman;serif" w:hAnsi="Times New Roman;serif"/>
          <w:b w:val="false"/>
          <w:color w:val="000000"/>
          <w:sz w:val="20"/>
        </w:rPr>
        <w:t xml:space="preserve">The 2024 Plan, initially allowed the Company to grant awards up to 2,453,616 shares of Common Stock, plus shares of common stock subject to awards outstanding under the 2019 Plan that are forfeited, canceled, held back upon exercise of an option or settlement of an award to cover the exercise price or tax withholding, reacquired by the Company prior to vesting, satisfied without the issuance of stock or otherwise terminated (other than by exercise). Each year starting on January 1, 2025 and on each January 1 thereafter, the number of shares of stock reserved and available for issuance under the 2024 Plan shall automatically be cumulatively increased by 5% of the outstanding shares on the immediately preceding December 31 or such lesser number of shares as approved by the Company. Through June 30, 2026, the Company registered 5,552,037 shares of Common Stock for issuance. The terms of equity award agreements, including vesting requirements, were determined by the board of directors and are subject to the provisions of the 2024 Plan. Equity awards granted to employees and non-employees generally </w:t>
      </w:r>
      <w:r>
        <w:rPr>
          <w:rFonts w:ascii="Times New Roman;serif" w:hAnsi="Times New Roman;serif"/>
          <w:b w:val="false"/>
          <w:color w:val="000000"/>
          <w:sz w:val="22"/>
        </w:rPr>
        <w:t xml:space="preserve">vest over one to </w:t>
      </w:r>
      <w:r>
        <w:rPr>
          <w:rFonts w:ascii="Times New Roman;serif" w:hAnsi="Times New Roman;serif"/>
          <w:b w:val="false"/>
          <w:color w:val="000000"/>
          <w:sz w:val="20"/>
        </w:rPr>
        <w:t xml:space="preserve">four-year period but may be granted with different vesting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62915"/>
                <wp:effectExtent l="0" t="0" r="0" b="0"/>
                <wp:wrapNone/>
                <wp:docPr id="21" name="Frame21"/>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options granted to employees and non-employees expire no more than 10 years from the date of grant and are generally service based. The 2024 Plan allows for awards to contain performance-based vesting criteria and for such awards that are deemed probable of vesting, the Company records expense in the period in which such determination is made through any estimated remaining vesting period. No awards with performance-based vesting criteria have been granted.</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2026 Inducement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Company’s board of directors adopted the Bicara Therapeutics Inc. 2026 Inducement Plan (the “Inducement Plan”) and reserved 1,000,000 shares of common stock for future issuance under the Inducement Plan. In June 2026, the Company amended the Inducement Plan and reserved an additional 700,000 shares of common stock for future issuance under the Inducement Plan.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Inducement Plan, as amended, has not been approved by the stockholders of the Company and provides for the grant of non-qualified stock options, stock appreciation rights, RSAs, RSUs, unrestricted stock awards and dividend equivalent rights to newly hired employees as a material inducement to accept employment with the Company in accordance with Nasdaq Listing Rule 5635(c)(4).</w:t>
      </w:r>
      <w:r>
        <w:rPr>
          <w:color w:val="000000"/>
        </w:rPr>
        <w:t xml:space="preserve">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total stock-based compensation expense for non-employees and employees in its statements of operations and comprehensive loss as follows (in thousands):</w:t>
      </w:r>
    </w:p>
    <w:tbl>
      <w:tblPr>
        <w:tblW w:w="8738" w:type="dxa"/>
        <w:jc w:val="left"/>
        <w:tblInd w:w="0" w:type="dxa"/>
        <w:tblLayout w:type="fixed"/>
        <w:tblCellMar>
          <w:top w:w="28" w:type="dxa"/>
          <w:left w:w="28" w:type="dxa"/>
          <w:bottom w:w="28" w:type="dxa"/>
          <w:right w:w="28" w:type="dxa"/>
        </w:tblCellMar>
      </w:tblPr>
      <w:tblGrid>
        <w:gridCol w:w="837"/>
        <w:gridCol w:w="734"/>
        <w:gridCol w:w="738"/>
        <w:gridCol w:w="327"/>
        <w:gridCol w:w="297"/>
        <w:gridCol w:w="286"/>
        <w:gridCol w:w="169"/>
        <w:gridCol w:w="169"/>
        <w:gridCol w:w="169"/>
        <w:gridCol w:w="327"/>
        <w:gridCol w:w="956"/>
        <w:gridCol w:w="169"/>
        <w:gridCol w:w="109"/>
        <w:gridCol w:w="109"/>
        <w:gridCol w:w="109"/>
        <w:gridCol w:w="424"/>
        <w:gridCol w:w="337"/>
        <w:gridCol w:w="339"/>
        <w:gridCol w:w="219"/>
        <w:gridCol w:w="219"/>
        <w:gridCol w:w="219"/>
        <w:gridCol w:w="424"/>
        <w:gridCol w:w="285"/>
        <w:gridCol w:w="286"/>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w:t>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w:t>
            </w:r>
          </w:p>
        </w:tc>
        <w:tc>
          <w:tcPr>
            <w:tcW w:w="6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w:t>
            </w:r>
          </w:p>
        </w:tc>
        <w:tc>
          <w:tcPr>
            <w:tcW w:w="6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Stock-based compensation, measured at the grant date based on the fair value of the award, is typically recognized ratably over the requisite service period, using the straight-line method of expense attribution. When utilizing the Black-Scholes option-pricing model to determine the grant date fair value of stock options granted to employees or non-employees, we used the following weighted average assumptions: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7"/>
        <w:gridCol w:w="752"/>
        <w:gridCol w:w="757"/>
        <w:gridCol w:w="109"/>
        <w:gridCol w:w="109"/>
        <w:gridCol w:w="109"/>
        <w:gridCol w:w="434"/>
        <w:gridCol w:w="434"/>
        <w:gridCol w:w="434"/>
        <w:gridCol w:w="290"/>
        <w:gridCol w:w="290"/>
        <w:gridCol w:w="290"/>
        <w:gridCol w:w="404"/>
        <w:gridCol w:w="404"/>
        <w:gridCol w:w="404"/>
        <w:gridCol w:w="109"/>
        <w:gridCol w:w="109"/>
        <w:gridCol w:w="109"/>
        <w:gridCol w:w="434"/>
        <w:gridCol w:w="434"/>
        <w:gridCol w:w="434"/>
        <w:gridCol w:w="264"/>
        <w:gridCol w:w="264"/>
        <w:gridCol w:w="264"/>
        <w:gridCol w:w="404"/>
        <w:gridCol w:w="404"/>
        <w:gridCol w:w="404"/>
        <w:gridCol w:w="109"/>
        <w:gridCol w:w="109"/>
        <w:gridCol w:w="109"/>
        <w:gridCol w:w="168"/>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5.5-6.1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93.4%-94.7%</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90.8%-95.4%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93.4%-94.7%</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90.6%-95.4%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dividend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$20.50-$22.58</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$9.90-$14.71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$16.11-$22.58</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$9.90-$14.71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62915"/>
                <wp:effectExtent l="0" t="0" r="0" b="0"/>
                <wp:wrapNone/>
                <wp:docPr id="22" name="Frame22"/>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A summary of options award activity for non-employees and employees of the Company is as follows:</w:t>
      </w:r>
    </w:p>
    <w:tbl>
      <w:tblPr>
        <w:tblW w:w="10205" w:type="dxa"/>
        <w:jc w:val="left"/>
        <w:tblInd w:w="0" w:type="dxa"/>
        <w:tblLayout w:type="fixed"/>
        <w:tblCellMar>
          <w:top w:w="28" w:type="dxa"/>
          <w:left w:w="28" w:type="dxa"/>
          <w:bottom w:w="28" w:type="dxa"/>
          <w:right w:w="28" w:type="dxa"/>
        </w:tblCellMar>
      </w:tblPr>
      <w:tblGrid>
        <w:gridCol w:w="1367"/>
        <w:gridCol w:w="1199"/>
        <w:gridCol w:w="1206"/>
        <w:gridCol w:w="343"/>
        <w:gridCol w:w="343"/>
        <w:gridCol w:w="350"/>
        <w:gridCol w:w="109"/>
        <w:gridCol w:w="109"/>
        <w:gridCol w:w="109"/>
        <w:gridCol w:w="220"/>
        <w:gridCol w:w="642"/>
        <w:gridCol w:w="114"/>
        <w:gridCol w:w="109"/>
        <w:gridCol w:w="109"/>
        <w:gridCol w:w="109"/>
        <w:gridCol w:w="565"/>
        <w:gridCol w:w="565"/>
        <w:gridCol w:w="567"/>
        <w:gridCol w:w="109"/>
        <w:gridCol w:w="109"/>
        <w:gridCol w:w="109"/>
        <w:gridCol w:w="753"/>
        <w:gridCol w:w="424"/>
        <w:gridCol w:w="566"/>
      </w:tblGrid>
      <w:tr>
        <w:trPr/>
        <w:tc>
          <w:tcPr>
            <w:tcW w:w="136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Aggregate Intrinsic </w:t>
            </w:r>
          </w:p>
          <w:p>
            <w:pPr>
              <w:pStyle w:val="TableContents"/>
              <w:bidi w:val="0"/>
              <w:spacing w:lineRule="auto" w:line="288" w:before="0" w:after="0"/>
              <w:jc w:val="center"/>
              <w:rPr/>
            </w:pPr>
            <w:r>
              <w:rPr>
                <w:rFonts w:ascii="Times New Roman;serif" w:hAnsi="Times New Roman;serif"/>
                <w:b/>
                <w:color w:val="000000"/>
                <w:sz w:val="20"/>
              </w:rPr>
              <w:t xml:space="preserve">Value </w:t>
            </w:r>
            <w:r>
              <w:rPr>
                <w:rFonts w:ascii="Times New Roman;serif" w:hAnsi="Times New Roman;serif"/>
                <w:b/>
                <w:color w:val="000000"/>
                <w:sz w:val="13"/>
              </w:rPr>
              <w:t>(1)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7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r>
      <w:tr>
        <w:trPr/>
        <w:tc>
          <w:tcPr>
            <w:tcW w:w="37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3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9,850,977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3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11,737,518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213,544</w:t>
            </w:r>
          </w:p>
        </w:tc>
      </w:tr>
      <w:tr>
        <w:trPr/>
        <w:tc>
          <w:tcPr>
            <w:tcW w:w="3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3,823,103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82,818</w:t>
            </w:r>
          </w:p>
        </w:tc>
      </w:tr>
      <w:tr>
        <w:trPr/>
        <w:tc>
          <w:tcPr>
            <w:tcW w:w="3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as of June 30, 2026</w:t>
            </w:r>
          </w:p>
        </w:tc>
        <w:tc>
          <w:tcPr>
            <w:tcW w:w="10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aggregate intrinsic value is calculated as the difference between the exercise price of the underlying options and the fair value of the Company’s common stock on June 30, 2026 for the options that were in the money.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fair value of options granted during the six months ended June 30, 2026 and 2025, was $13.98 and $12.16, respectively.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exercised for the six months ended June 30, 2026 and 2025 was $11.5 million and $0.8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had 7,914,415 unvested stock options outstanding as of June 30, 2026. As of June 30, 2026, total unrecognized compensation costs of $71.1 million related to unvested stock options are expected to be recognized as expense over a weighted average period of 3.0 years.</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2024 Employee Stock Purchase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2024, the Company’s board of directors adopted, and its stockholders approved, the 2024 Employee Stock Purchase Plan (the "ESPP"), which became effective September 5, 2024. The ESPP initially reserves and authorizes the issuance of up to 507,383 shares of our common stock to participating employees. The ESPP provides that the number of shares reserved and available for issuance will automatically increase on January 1, 2025 and each January 1 thereafter through January 1, 2034, by the least of (i) 1,014,766 shares of common stock, (ii) 1% of the sum of (A) the number of shares of our common stock issued and outstanding on the immediately preceding December 31, and (B) the number of shares of common stock issuable pursuant to the exercise of any outstanding, pre-funded warrants to acquire such common stock for a nominal exercise price on the immediately preceding December 31, or (iii) such number of shares of common stock as determined by the administrator of the ESPP. The number of shares reserved under the ESPP is subject to adjustment in the event of a stock split, stock dividend, or other change in our capitalization. There has been no activity on this plan to date, and no stock-based compensation expense was recognized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62915"/>
                <wp:effectExtent l="0" t="0" r="0" b="0"/>
                <wp:wrapNone/>
                <wp:docPr id="23" name="Frame23"/>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losses incurred since inception and the uncertainty surrounding the realization of the favorable tax attributes in future tax returns, the Company has recorded a full valuation allowance against the Company’s otherwise recognizable net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11.     Significant Agreements – Related Parties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a master services agreement on December 15, 2020 (the “Master Services Agreement”) with Biocon. Pursuant to the terms of the master service agreement, Biocon provided services related to research and development, clinical trials, regulatory interactions and manufacturing. The Company incurred $0.1 million and $0.0 million expenses under the Master Services Agreement during the three and six months ended June 30, 2026 and 2025, respectively.</w:t>
      </w:r>
    </w:p>
    <w:p>
      <w:pPr>
        <w:pStyle w:val="TextBody"/>
        <w:bidi w:val="0"/>
        <w:spacing w:before="0" w:after="200"/>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23, 2019, the Company entered into a contract manufacturing agreement with a wholly-owned subsidiary of Biocon, Biocon Biologics Limited (“BBL”) formerly Biocon Biologics India Limited, which was amended on November 6, 2024 to extend the term of the contract manufacturing agreement until July 23, 2026. Additionally, the Company entered into a material transfer agreement on August 17, 2023, a quality agreement on October 12, 2023, a service agreement on October 18, 2023, and a manufacturing service agreement on December 15, 2023 (collectively, the “BBL Agreements”). Pursuant to the terms of the BBL Agreements, BBL manufactures and supplies specified quantities of products to Bicara to be utilized in research and development and manufacturing as per purchase orders executed from time to time between the two parties. For the three months ended June 30, 2026 and 2025, the Company incurred $0.1 million and $0.0 million of research and development expenses, respectively, under the BBL Agreements. For the six months ended June 30, 2026 and 2025, the Company incurred $0.2 million and $0.0 million of research and development expenses, respectively, under the BBL Agreements. As of June 30, 2026 and December 31, 2025, the Company owed $0.1 million and $0.0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additionally entered into a contract manufacturing agreement with a wholly-owned subsidiary of Biocon, Syngene International Limited (“Syngene”), on July 17, 2019, which was amended and restated on April 1, 2020 with the amended and restated manufacturing service agreement, as amended (the “Syngene Manufacturing Services Agreement”), and a master contract services agreement on July 24, 2020, as amended (the “Syngene Master Contract Services Agreement” and together with the Syngene Manufacturing Services Agreement, the “Syngene Agreements”). Pursuant to the terms of the Syngene Agreements, Syngene manufactures and supplies specified quantities of products to Bicara to be used in research and development as per purchase orders executed from time to time between the two parties and performs additional contract research services under the master contract services agreement. The Syngene Manufacturing Services Agreement expires on the later of October 31, 2027 or the completion of services under all work orders under the agreement. The Syngene Master Contract Services Agreement expires on the later of November 1, 2031 or the completion of all services under the statements of work under the agreement. On December 16, 2024, the Company entered into an additional master contract services agreement with Syngene, whereby Syngene agreed to provide the Company with dedicated research laboratories and personnel (“Dedicated Center Agreement”). The Dedicated Center Agreement expires on the later of December 16, 2028 or the completion of all services under all statements of work under the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incurred $0.9 million and $2.9 million of manufacturing and research and development expenses, respectively, under the Syngene Agreements. For the six months ended June 30, 2026 and 2025, the Company incurred $2.7 million and $9.5 million of manufacturing and research and development expenses, respectively, under the Syngene Agreements. As of June 30, 2026, and December 31, 2025, the Company owed Syngene $1.0 million and $3.4 million, respectively, relating to these incurred costs, of which $0.9 million and $2.3 million, respectively, were classified in accounts payable-related party and $0.1 million and $1.1 million, respectively, were classified as accrued expenses-related party on the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62915"/>
                <wp:effectExtent l="0" t="0" r="0" b="0"/>
                <wp:wrapNone/>
                <wp:docPr id="24" name="Frame24"/>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12.     Significant Agreements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IQVIA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2019, the Company entered into a master clinical contract services agreement with IQVIA RDS Inc. (“IQVIA”), which was amended in December 2023 to include global clinical trials. Pursuant to the terms of the agreement, as amended, IQVIA will provide the Company with certain global clinical-development related services and laboratory services under separately executed statements of work (“SOWs”). In June 2021, the Company entered into an SOW with IQVIA for lab and clinical development services, to be invoiced on a monthly basis based on work performed by IQVIA. Under this SOW, Bicara agreed to provide IQVIA with an initial upfront payment of $1.8 million, of which $1.0 million was a refundable deposit and $0.8 million for investigator grant payment in advance. In December 2022, Bicara entered into an authorized to proceed agreement (“ATP”) with IQVIA. Under the ATP, Bicara agreed to provide IQVIA with an additional refundable deposit of $0.9 million, which was paid in March 2023. Both the initial deposit and the ATP deposit will be held on account and reconciled against final invoices. As of June 30, 2026 and December 31, 2025, the refundable deposit balance was $1.9 million, which is included within other assets on the balance sheets.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2024, the Company entered into a second SOW, as amended in April 2026 (the “second SOW”), for lab and clinical development services with IQVIA, which was incorporated into the master clinical contract services agreement and part of the Company’s FORTIFI-HN01 Phase 2/3 clinical trial. Services will be invoiced on a monthly basis based on work performed by IQVIA. Under the second SOW, Bicara agreed to provide IQVIA with an initial upfront payment of $12.8 million, of which $7.3 million was for investigator grant payments made in advance, $4.5 million was a deposit for IQVIA direct services and $1.0 million was a deposit for pass through costs. The deposits will be held on account with an incremental return starting the month after 75% of the budgeted costs has been paid by the Company. Under the second SOW, IQVIA is eligible to receive potential additional payments and it is subject to potential penalties based on certain milestone targets.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incurred $17.3 million and $8.8 million in expenses, respectively and paid $9.2 million and $5.2 million, respectively, to IQVIA. For the six months ended June 30, 2026 and 2025 the Company incurred $27.1 million and $16.8 million in expenses, respectively and paid $16.9 million and $17.5 million, respectively, to IQVIA. </w:t>
      </w:r>
    </w:p>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$1.3 million and $0.4 million classified in accounts payable, respectively, and $20.0 million and $8.6 million classified in accrued expenses and other current liabilities on the balance sheets.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Clinical Trial Collaboration and Supply Agreement with MSD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19, 2022, we entered into a Clinical Trial Collaboration and Supply Agreement (the "MSD Agreement") with MSD International GmbH ("MSDIG"), and MSD International Business GmbH ("MSDIB" and collectively with MSDIG, "MSD"). Pursuant to the MSD Agreement, we provide ficerafusp alfa and MSD provides pembrolizumab to be used in combination in a clinical trial sponsored by us. The clinical trial is a First-in-Human, Phase 1/1b, Open-label, Multicenter Study intended to characterize the safety, tolerability and recommended dose of single agent ficerafusp alfa and combination ficerafusp alfa plus pembrolizumab. To facilitate such collaboration activities and information exchange and pursuant to the MSD Agreement, we and MSD created a joint development committee with an equal number of representatives from each party.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MSD Agreement, all clinical data resulting from the portion of the clinical trial involving the combination of ficerafusp alfa and pembrolizumab is jointly owned by both us and MSD. We own all clinical data resulting from the part of the clinical trial involving ficerafusp alfa alone or in combination with other treatments that are not pembrolizumab, and MSD owns all clinical data resulting from the part of the clinical trial involving pembrolizumab alone or in combination with other treatments that are not ficerafusp alfa. There are no accounting considerations for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62915"/>
                <wp:effectExtent l="0" t="0" r="0" b="0"/>
                <wp:wrapNone/>
                <wp:docPr id="25" name="Frame25"/>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13. Defined Contribution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maintains a tax-qualified 401(k) retirement savings plan for our employees. All eligible employees are able to participate in the plan beginning one month after their first day of employment. Under our defined contribution plan, employees may elect to defer a percentage of their compensation per year, subject to a maximum limit prescribed by tax law, and the Company match a portion of their eligible contributions. The Company provided matching discretionary contributions under the 401(k) plan of $0.2 million and $0.1 million for the three months ended June 30, 2026 and June 30, 2025, respectively. The Company provided matching discretionary contributions under the 401(k) plan of $0.4 million and $0.2 million for the six months ended June 30, 2026 and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relating to research and development of its product. The segment does not currently generate revenues as it is currently conducting clinical trials and has not commercialized any products.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“CODM”), its Chief Executive Officer, manages the Company’s operations on an integrated basis for the purposes of allocating resources. When evaluating the Company’s financial performance, the CODM regularly reviews total expenses and expenses by function and the CODM makes decisions using this information on a global basis. The CODM monitors performance at the consolidated level such that the measure of segment loss is consolidated net loss and the measure of reportable segment assets is reported on the balance sheet as total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profit or loss, including significant segment expenses (in thousands):</w:t>
      </w:r>
    </w:p>
    <w:p>
      <w:pPr>
        <w:pStyle w:val="TextBody"/>
        <w:bidi w:val="0"/>
        <w:spacing w:before="0" w:after="200"/>
        <w:jc w:val="both"/>
        <w:rPr/>
      </w:pPr>
      <w:r>
        <w:rPr/>
      </w:r>
    </w:p>
    <w:tbl>
      <w:tblPr>
        <w:tblW w:w="10205" w:type="dxa"/>
        <w:jc w:val="left"/>
        <w:tblInd w:w="0" w:type="dxa"/>
        <w:tblLayout w:type="fixed"/>
        <w:tblCellMar>
          <w:top w:w="28" w:type="dxa"/>
          <w:left w:w="28" w:type="dxa"/>
          <w:bottom w:w="28" w:type="dxa"/>
          <w:right w:w="28" w:type="dxa"/>
        </w:tblCellMar>
      </w:tblPr>
      <w:tblGrid>
        <w:gridCol w:w="1391"/>
        <w:gridCol w:w="1225"/>
        <w:gridCol w:w="1233"/>
        <w:gridCol w:w="109"/>
        <w:gridCol w:w="109"/>
        <w:gridCol w:w="109"/>
        <w:gridCol w:w="214"/>
        <w:gridCol w:w="774"/>
        <w:gridCol w:w="110"/>
        <w:gridCol w:w="110"/>
        <w:gridCol w:w="110"/>
        <w:gridCol w:w="110"/>
        <w:gridCol w:w="214"/>
        <w:gridCol w:w="774"/>
        <w:gridCol w:w="110"/>
        <w:gridCol w:w="109"/>
        <w:gridCol w:w="109"/>
        <w:gridCol w:w="109"/>
        <w:gridCol w:w="226"/>
        <w:gridCol w:w="865"/>
        <w:gridCol w:w="109"/>
        <w:gridCol w:w="109"/>
        <w:gridCol w:w="109"/>
        <w:gridCol w:w="109"/>
        <w:gridCol w:w="226"/>
        <w:gridCol w:w="826"/>
        <w:gridCol w:w="109"/>
        <w:gridCol w:w="109"/>
        <w:gridCol w:w="109"/>
        <w:gridCol w:w="109"/>
        <w:gridCol w:w="161"/>
      </w:tblGrid>
      <w:tr>
        <w:trPr/>
        <w:tc>
          <w:tcPr>
            <w:tcW w:w="139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Manufacturing and process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11,484 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34,277 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Clinical operations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21,384 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10,461 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36,311 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20,487 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 personnel cost and other (including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21,588 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10,624 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24,798 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personnel costs (including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Facility costs, IT, office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 before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(55,375)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(27,336)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Segment and 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(55,436)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(111,647)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Included within facility costs, IT, office expense and other are depreciation expense, which is disclosed on the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62915"/>
                <wp:effectExtent l="0" t="0" r="0" b="0"/>
                <wp:wrapNone/>
                <wp:docPr id="26" name="Frame26"/>
                <a:graphic xmlns:a="http://schemas.openxmlformats.org/drawingml/2006/main">
                  <a:graphicData uri="http://schemas.microsoft.com/office/word/2010/wordprocessingShape">
                    <wps:wsp>
                      <wps:cNvSpPr txBox="1"/>
                      <wps:spPr>
                        <a:xfrm>
                          <a:off x="0" y="0"/>
                          <a:ext cx="6480175" cy="462915"/>
                        </a:xfrm>
                        <a:prstGeom prst="rect"/>
                        <a:solidFill>
                          <a:srgbClr val="FFFFFF"/>
                        </a:solidFill>
                      </wps:spPr>
                      <wps:txb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val="false"/>
          <w:i/>
          <w:color w:val="231F20"/>
          <w:sz w:val="20"/>
        </w:rPr>
        <w:t>The</w:t>
      </w:r>
      <w:r>
        <w:rPr>
          <w:color w:val="231F20"/>
        </w:rPr>
        <w:t xml:space="preserve"> </w:t>
      </w:r>
      <w:r>
        <w:rPr>
          <w:rFonts w:ascii="Times New Roman;serif" w:hAnsi="Times New Roman;serif"/>
          <w:b w:val="false"/>
          <w:i/>
          <w:color w:val="231F20"/>
          <w:sz w:val="20"/>
        </w:rPr>
        <w:t>following</w:t>
      </w:r>
      <w:r>
        <w:rPr>
          <w:color w:val="231F20"/>
        </w:rPr>
        <w:t xml:space="preserve"> </w:t>
      </w:r>
      <w:r>
        <w:rPr>
          <w:rFonts w:ascii="Times New Roman;serif" w:hAnsi="Times New Roman;serif"/>
          <w:b w:val="false"/>
          <w:i/>
          <w:color w:val="231F20"/>
          <w:sz w:val="20"/>
        </w:rPr>
        <w:t>discussion</w:t>
      </w:r>
      <w:r>
        <w:rPr>
          <w:color w:val="231F20"/>
        </w:rPr>
        <w:t xml:space="preserve"> </w:t>
      </w:r>
      <w:r>
        <w:rPr>
          <w:rFonts w:ascii="Times New Roman;serif" w:hAnsi="Times New Roman;serif"/>
          <w:b w:val="false"/>
          <w:i/>
          <w:color w:val="231F20"/>
          <w:sz w:val="20"/>
        </w:rPr>
        <w:t>and analysis</w:t>
      </w:r>
      <w:r>
        <w:rPr>
          <w:color w:val="231F20"/>
        </w:rPr>
        <w:t xml:space="preserve"> </w:t>
      </w:r>
      <w:r>
        <w:rPr>
          <w:rFonts w:ascii="Times New Roman;serif" w:hAnsi="Times New Roman;serif"/>
          <w:b w:val="false"/>
          <w:i/>
          <w:color w:val="231F20"/>
          <w:sz w:val="20"/>
        </w:rPr>
        <w:t>of our financial</w:t>
      </w:r>
      <w:r>
        <w:rPr>
          <w:color w:val="231F20"/>
        </w:rPr>
        <w:t xml:space="preserve"> </w:t>
      </w:r>
      <w:r>
        <w:rPr>
          <w:rFonts w:ascii="Times New Roman;serif" w:hAnsi="Times New Roman;serif"/>
          <w:b w:val="false"/>
          <w:i/>
          <w:color w:val="231F20"/>
          <w:sz w:val="20"/>
        </w:rPr>
        <w:t>condition and results of operations should be read in conjunction with our unaudited financial statements and related</w:t>
      </w:r>
      <w:r>
        <w:rPr>
          <w:color w:val="231F20"/>
        </w:rPr>
        <w:t xml:space="preserve"> </w:t>
      </w:r>
      <w:r>
        <w:rPr>
          <w:rFonts w:ascii="Times New Roman;serif" w:hAnsi="Times New Roman;serif"/>
          <w:b w:val="false"/>
          <w:i/>
          <w:color w:val="231F20"/>
          <w:sz w:val="20"/>
        </w:rPr>
        <w:t>notes appearing elsewhere in this Quarterly Report on Form 10-Q. Some of the information contained in this discussion</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analysis</w:t>
      </w:r>
      <w:r>
        <w:rPr>
          <w:color w:val="231F20"/>
        </w:rPr>
        <w:t xml:space="preserve"> </w:t>
      </w:r>
      <w:r>
        <w:rPr>
          <w:rFonts w:ascii="Times New Roman;serif" w:hAnsi="Times New Roman;serif"/>
          <w:b w:val="false"/>
          <w:i/>
          <w:color w:val="231F20"/>
          <w:sz w:val="20"/>
        </w:rPr>
        <w:t>or set forth elsewhere in this Quarterly Report on Form 10-Q, including information with respect to our future results of operations or financial condition, business strategy and plans and objectives of management for future operations, includes forward-looking statements that involve risks and uncertainties and should be read together with the “Risk Factors” section of this Quarterly Report on Form 10-Q for a discussion of important factors that could cause our actual results to differ materially from those described in or implied by these forward-looking statements contained in the following discussion and analysis. Please also see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We are a clinical-stage biopharmaceutical company committed to bringing transformative bifunctional therapies to patients with solid tumors. We have built a platform designed to facilitate the development of bifunctional therapies that precisely target the tumor and deliver a tumor-modulating payload to the tumor site. This dual-targeting approach both enhances drug exposure within the tumor microenvironment, or TME, and limits systemic toxicity. This approach was deployed in the development of our lead program ficerafusp alfa, formerly BCA101, a bifunctional epidermal growth factor receptor-, or EGFR, directed monoclonal antibody bound to a human transforming growth factor beta, or TGF-β, ligand trap.</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By combining these two clinically validated targets, ficerafusp alfa has the potential to exert potent anti-tumor activity by simultaneously blocking both cancer cell-intrinsic EGFR survival and proliferation, as well as the immunosuppressive TGF-β signaling within the TME. Ficerafusp alfa directs the TGF-β inhibitor into the immediate TME through the binding of EGFR on tumor cells, which we believe will drive the tumor penetration of immune cells that lead to deep and durable responses and an increase in overall survival.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ficerafusp alfa has the potential to provide meaningful clinical benefit in solid tumors that are challenged by inadequate tumor penetration and where there is a strong biologic rationale for the dual inhibition of both EGFR and TGF-β, such as head and neck cancers and other squamous cell carcinomas which typically overexpress EGFR and TGF-β pathways. We are focusing our efforts and resources on the continued development of ficerafusp alfa in those tumor types for which there is strong biologic rationale and remaining unmet need for enhanced tumor penetration.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Pipeline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development plan for ficerafusp alfa is summarized in the following pipeline chart:</w:t>
      </w:r>
    </w:p>
    <w:p>
      <w:pPr>
        <w:pStyle w:val="TextBody"/>
        <w:bidi w:val="0"/>
        <w:spacing w:before="0" w:after="0"/>
        <w:jc w:val="both"/>
        <w:rPr/>
      </w:pPr>
      <w:r>
        <w:rPr/>
      </w:r>
    </w:p>
    <w:p>
      <w:pPr>
        <w:pStyle w:val="TextBody"/>
        <w:bidi w:val="0"/>
        <w:spacing w:before="0" w:after="0"/>
        <w:jc w:val="both"/>
        <w:rPr/>
      </w:pPr>
      <w:r>
        <w:rPr/>
        <w:drawing>
          <wp:inline distT="0" distB="0" distL="0" distR="0">
            <wp:extent cx="6286500" cy="26289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2628900"/>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 xml:space="preserve">Corporate Highlights, Recent Progress and Key Upcoming Milestones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u w:val="single"/>
        </w:rPr>
        <w:t>FORTIFI-HN01 Phase 2/3 pivotal trial</w:t>
      </w:r>
      <w:r>
        <w:rPr>
          <w:rFonts w:ascii="Times New Roman;serif" w:hAnsi="Times New Roman;serif"/>
          <w:b w:val="false"/>
          <w:color w:val="000000"/>
          <w:sz w:val="20"/>
        </w:rPr>
        <w:t>: We are currently conducting a global, randomized, double-blind, Phase 2/3 FORTIFI-HN01 pivotal trial evaluating 1500mg dosed once weekly, or QW, of ficerafusp alfa in combination with pembrolizumab in first-line, or 1L, recurrent/metastatic, or R/M, human papillomavirus infection, or HPV, -negative head and neck squamous cell carcinoma, or HNSCC, whose tumors express programmed death-ligand 1 with combined positive score, or CPS, of ≥1. In January 2026, we announced that 1500mg QW of ficerafusp alfa was selected as the optimal dose to bring forward in the Phase 3 portion of the FORTIFI-HN01 trial. In February 2026, the transition to the Phase 3 portion of the FORTIFI-HN01 trial was completed. The dose determination was informed by the open-label data sets from our Phase 1/1b trial, as well as data from the treatment arms of the Phase 2 portion of the FORTIFI-HN01 trial. The FORTIFI-HN01 will enroll approximately 650 patients, which we believe is sufficiently designed to achieve results to support potential approval by the U.S. Food and Drug Association, or the FDA. We enrolled the first patients in the FORTIFI-HN01 trial in February 2025. We expect to achieve substantial enrollment by the end of 2026 to enable an interim analysis in mid-2027 to support potential accelerated approval and U.S. launch in 2028.</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u w:val="single"/>
        </w:rPr>
        <w:t>Alternate dose study to evaluate loading and every-three-week maintenance regimen</w:t>
      </w:r>
      <w:r>
        <w:rPr>
          <w:rFonts w:ascii="Times New Roman;serif" w:hAnsi="Times New Roman;serif"/>
          <w:b w:val="false"/>
          <w:color w:val="000000"/>
          <w:sz w:val="20"/>
        </w:rPr>
        <w:t xml:space="preserve">: In August 2026, we announced the initiation of FORTIFI-FLEX, a randomized clinical study that will evaluate ficerafusp alfa in combination with pembrolizumab, administered as a 12-week loading dose of 1500mg QW followed by maintenance dosing of 2250mg every three weeks. We expect to have results from this study by the time of potential U.S. accelerated approval in 1L R/M HPV-negative HNSCC. This builds on positive data we presented in February 2026 from the Phase 1b expansion cohort evaluating 2000mg of ficerafusp alfa every-other-week in combination with pembrolizumab in 1L R/M HPV-negative HNSCC at the 2026 Multidisciplinary Head and Neck Cancers Symposium, which supported our plans to develop an alternate dosing regimen to expand optionality for patients and providers.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u w:val="single"/>
        </w:rPr>
        <w:t>Phase 1b expansion cohorts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1500mg QW, 750mg QW and 2000mg Q2W plus pembrolizumab in 1L R/M HPV-negative HNSCC</w:t>
      </w:r>
      <w:r>
        <w:rPr>
          <w:rFonts w:ascii="Times New Roman;serif" w:hAnsi="Times New Roman;serif"/>
          <w:b w:val="false"/>
          <w:color w:val="000000"/>
          <w:sz w:val="20"/>
        </w:rPr>
        <w:t>: In May 2026, we presented extended follow-up data out to three years from the Phase 1b study of ficerafusp alfa in combination with pembrolizumab in 1L R/M HPV-negative HNSCC at the 2026 American Society of Clinical Oncology Annual Meeting. As of the March 31, 2026 data snapshot, the data, which included the 750mg QW, 1500mg QW, and 2000mg every-other-week, or Q2W, expansion cohorts, showed deep, durable responses observed to be driven by TGF-β inhibition. All three dose cohorts demonstrated clinically meaningful duration of response, or DOR, progression-free survival, or PFS, and overall survival, or OS, representing substantial improvements over standard of care treatment, as well as a generally well-tolerated safety profile. Specifically, three-year follow-up from the 1500mg QW dose cohort showed an estimated overall survival rate of 31%, approximately doubling the survival rate observed in retrospective analysis with standard of care pembrolizumab in HPV-negative patients. Additionally, biomarker analyses across all three dose cohorts demonstrated sustained TGF-β inhibition and immune activation with ficerafusp alfa, reinforcing the mechanistic link between intra-tumoral TGF-β inhibition, immune activation, and the deep, durable responses. Across a pooled cohort analysis, two-thirds of responders achieved deep responses of greater than 80% tumor shrinkage and experienced more durable disease control, with meaningfully longer DOR, PFS, and OS compared to patients with partial responses of less than 80% tumor shrinkage, further reinforcing depth of response as a driver of long-term outcomes in patients with 1L R/M HPV-negative HNSCC.</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1500mg QW plus pembrolizumab in 1L R/M HPV-negative HNSCC with CPS&lt;1</w:t>
      </w:r>
      <w:r>
        <w:rPr>
          <w:rFonts w:ascii="Times New Roman;serif" w:hAnsi="Times New Roman;serif"/>
          <w:b w:val="false"/>
          <w:color w:val="000000"/>
          <w:sz w:val="20"/>
        </w:rPr>
        <w:t>: We are continuing to enroll a Phase 1b expansion cohort evaluating 1500mg QW of ficerafusp alfa in combination with pembrolizumab in patients with 1L R/M HPV-negative HNSCC with a CPS&lt;1.</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1500mg QW plus pembrolizumab in 1L R/M HPV-positive smokers HNSCC</w:t>
      </w:r>
      <w:r>
        <w:rPr>
          <w:rFonts w:ascii="Times New Roman;serif" w:hAnsi="Times New Roman;serif"/>
          <w:b w:val="false"/>
          <w:color w:val="000000"/>
          <w:sz w:val="20"/>
        </w:rPr>
        <w:t>: We are continuing to enroll an additional Phase 1b expansion cohort evaluating 1500mg QW of ficerafusp alfa in combination with pembrolizumab in patients with HPV-positive R/M HNSCC and a history of heavy smoking.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1500mg QW in other solid tumors</w:t>
      </w:r>
      <w:r>
        <w:rPr>
          <w:rFonts w:ascii="Times New Roman;serif" w:hAnsi="Times New Roman;serif"/>
          <w:b w:val="false"/>
          <w:color w:val="000000"/>
          <w:sz w:val="20"/>
        </w:rPr>
        <w:t xml:space="preserve">: We are continuing to enroll Phase 1b expansion cohorts evaluating 1500mg QW of ficerafusp alfa both as monotherapy and in combination with pembrolizumab in patients with third-line metastatic colorectal cancer with microsatellite stable RAS/BRAF wild-type. We expect to present data from these cohorts in the second half of 2026. In 2025, we presented data from additional Phase 1b cohorts evaluating ficerafusp alfa monotherapy in patients with second-line or later cutaneous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squamous cell carcinoma, as well as ficerafusp alfa in combination with pembrolizumab in patients with second-line or later squamous cancer of the anal canal. These data demonstrated proof-of-concept in both indications and reinforced our conviction in ficerafusp alfa's broad applicability across TGF-β-driven tumors.</w:t>
      </w:r>
    </w:p>
    <w:p>
      <w:pPr>
        <w:pStyle w:val="TextBody"/>
        <w:bidi w:val="0"/>
        <w:spacing w:before="0" w:after="0"/>
        <w:jc w:val="left"/>
        <w:rPr/>
      </w:pPr>
      <w:r>
        <w:rPr/>
      </w:r>
    </w:p>
    <w:p>
      <w:pPr>
        <w:pStyle w:val="TextBody"/>
        <w:bidi w:val="0"/>
        <w:spacing w:lineRule="auto" w:line="319" w:before="0" w:after="200"/>
        <w:jc w:val="both"/>
        <w:rPr/>
      </w:pPr>
      <w:r>
        <w:rPr>
          <w:rFonts w:ascii="Times New Roman;serif" w:hAnsi="Times New Roman;serif"/>
          <w:b w:val="false"/>
          <w:color w:val="000000"/>
          <w:sz w:val="20"/>
        </w:rPr>
        <w:t xml:space="preserve">Since our inception in December 2018, we have not generated any revenue from product sales or other sources and have incurred significant operating losses and negative cash flows from our operations. Our primary uses of cash to date have been conducting research and development, advancing development of ficerafusp alfa, raising capital, building infrastructure, developing intellectual property, hiring personnel and providing general and administrative support for these operations. To date, we have funded our operations primarily through sale of common stock in connection with our initial public offering, or IPO, ATM Program (as defined below), our February 2026 Offering (as defined below), exercise of stock options, private placements of our redeemable convertible preferred stock, and through debt financing. </w:t>
      </w:r>
      <w:r>
        <w:rPr>
          <w:rFonts w:ascii="Times New Roman;serif" w:hAnsi="Times New Roman;serif"/>
          <w:b w:val="false"/>
          <w:color w:val="231F20"/>
          <w:sz w:val="20"/>
        </w:rPr>
        <w:t xml:space="preserve">As of June 30, 2026, we had raised aggregate net proceeds of </w:t>
      </w:r>
      <w:r>
        <w:rPr>
          <w:rFonts w:ascii="Times New Roman;serif" w:hAnsi="Times New Roman;serif"/>
          <w:b w:val="false"/>
          <w:color w:val="000000"/>
          <w:sz w:val="20"/>
        </w:rPr>
        <w:t>$885.3</w:t>
      </w:r>
      <w:r>
        <w:rPr>
          <w:color w:val="231F20"/>
          <w:shd w:fill="FFFFFF" w:val="clear"/>
        </w:rPr>
        <w:t xml:space="preserve"> </w:t>
      </w:r>
      <w:r>
        <w:rPr>
          <w:rFonts w:ascii="Times New Roman;serif" w:hAnsi="Times New Roman;serif"/>
          <w:b w:val="false"/>
          <w:color w:val="231F20"/>
          <w:sz w:val="20"/>
          <w:shd w:fill="FFFFFF" w:val="clear"/>
        </w:rPr>
        <w:t>million an</w:t>
      </w:r>
      <w:r>
        <w:rPr>
          <w:rFonts w:ascii="Times New Roman;serif" w:hAnsi="Times New Roman;serif"/>
          <w:b w:val="false"/>
          <w:color w:val="231F20"/>
          <w:sz w:val="20"/>
        </w:rPr>
        <w:t xml:space="preserve">d had cash, cash equivalents and marketable securities of </w:t>
      </w:r>
      <w:r>
        <w:rPr>
          <w:rFonts w:ascii="Times New Roman;serif" w:hAnsi="Times New Roman;serif"/>
          <w:b w:val="false"/>
          <w:color w:val="000000"/>
          <w:sz w:val="20"/>
        </w:rPr>
        <w:t>$497.3 million</w:t>
      </w:r>
      <w:r>
        <w:rPr>
          <w:rFonts w:ascii="Times New Roman;serif" w:hAnsi="Times New Roman;serif"/>
          <w:b w:val="false"/>
          <w:color w:val="231F20"/>
          <w:sz w:val="20"/>
        </w:rPr>
        <w:t xml:space="preserve">. </w:t>
      </w:r>
      <w:r>
        <w:rPr>
          <w:rFonts w:ascii="Times New Roman;serif" w:hAnsi="Times New Roman;serif"/>
          <w:b w:val="false"/>
          <w:color w:val="000000"/>
          <w:sz w:val="20"/>
        </w:rPr>
        <w:t>The February 2026 Offering closed on February 26, 2026 and resulted in net proceeds to us of approximate</w:t>
      </w:r>
      <w:r>
        <w:rPr>
          <w:rFonts w:ascii="Times New Roman;serif" w:hAnsi="Times New Roman;serif"/>
          <w:b w:val="false"/>
          <w:color w:val="000000"/>
          <w:sz w:val="20"/>
          <w:shd w:fill="FFFFFF" w:val="clear"/>
        </w:rPr>
        <w:t>ly $161.8 million.</w:t>
      </w:r>
    </w:p>
    <w:p>
      <w:pPr>
        <w:pStyle w:val="TextBody"/>
        <w:bidi w:val="0"/>
        <w:spacing w:lineRule="auto" w:line="319" w:before="0" w:after="200"/>
        <w:jc w:val="both"/>
        <w:rPr/>
      </w:pPr>
      <w:r>
        <w:rPr>
          <w:rFonts w:ascii="Times New Roman;serif" w:hAnsi="Times New Roman;serif"/>
          <w:b w:val="false"/>
          <w:color w:val="231F20"/>
          <w:sz w:val="20"/>
          <w:shd w:fill="FFFFFF" w:val="clear"/>
        </w:rPr>
        <w:t xml:space="preserve">We have incurred operating losses in each year since our inception. Our net losses were </w:t>
      </w:r>
      <w:r>
        <w:rPr>
          <w:rFonts w:ascii="Times New Roman;serif" w:hAnsi="Times New Roman;serif"/>
          <w:b w:val="false"/>
          <w:color w:val="000000"/>
          <w:sz w:val="20"/>
        </w:rPr>
        <w:t>$55.4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$27.4 million</w:t>
      </w:r>
      <w:r>
        <w:rPr>
          <w:color w:val="231F20"/>
          <w:shd w:fill="FFFFFF" w:val="clear"/>
        </w:rPr>
        <w:t xml:space="preserve"> </w:t>
      </w:r>
      <w:r>
        <w:rPr>
          <w:rFonts w:ascii="Times New Roman;serif" w:hAnsi="Times New Roman;serif"/>
          <w:b w:val="false"/>
          <w:color w:val="231F20"/>
          <w:sz w:val="20"/>
          <w:shd w:fill="FFFFFF" w:val="clear"/>
        </w:rPr>
        <w:t xml:space="preserve">for the three months ended June 30, 2026 and 2025, respectively and </w:t>
      </w:r>
      <w:r>
        <w:rPr>
          <w:rFonts w:ascii="Times New Roman;serif" w:hAnsi="Times New Roman;serif"/>
          <w:b w:val="false"/>
          <w:color w:val="000000"/>
          <w:sz w:val="20"/>
        </w:rPr>
        <w:t>$111.6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rPr>
        <w:t>$64.2 million</w:t>
      </w:r>
      <w:r>
        <w:rPr>
          <w:color w:val="231F20"/>
          <w:shd w:fill="FFFFFF" w:val="clear"/>
        </w:rPr>
        <w:t xml:space="preserve"> </w:t>
      </w:r>
      <w:r>
        <w:rPr>
          <w:rFonts w:ascii="Times New Roman;serif" w:hAnsi="Times New Roman;serif"/>
          <w:b w:val="false"/>
          <w:color w:val="231F20"/>
          <w:sz w:val="20"/>
          <w:shd w:fill="FFFFFF" w:val="clear"/>
        </w:rPr>
        <w:t>for the six months ended June 30, 2026 and 2025, respectively. As of June 30, 2026, we had an accumulated deficit of</w:t>
      </w:r>
      <w:r>
        <w:rPr>
          <w:color w:val="000000"/>
        </w:rPr>
        <w:t xml:space="preserve"> </w:t>
      </w:r>
      <w:r>
        <w:rPr>
          <w:rFonts w:ascii="Times New Roman;serif" w:hAnsi="Times New Roman;serif"/>
          <w:b w:val="false"/>
          <w:color w:val="000000"/>
          <w:sz w:val="20"/>
        </w:rPr>
        <w:t>$470.6 million. We expect our expenses and operating losses will increase substantially as we:</w:t>
      </w:r>
    </w:p>
    <w:p>
      <w:pPr>
        <w:pStyle w:val="TextBody"/>
        <w:bidi w:val="0"/>
        <w:spacing w:lineRule="auto" w:line="288" w:before="200" w:after="283"/>
        <w:ind w:left="0" w:right="0" w:hanging="360"/>
        <w:jc w:val="both"/>
        <w:rPr/>
      </w:pPr>
      <w:r>
        <w:rPr>
          <w:color w:val="231F20"/>
        </w:rPr>
        <w:t>•</w:t>
      </w:r>
      <w:r>
        <w:rPr>
          <w:rFonts w:ascii="Times New Roman;serif" w:hAnsi="Times New Roman;serif"/>
          <w:b w:val="false"/>
          <w:color w:val="231F20"/>
          <w:sz w:val="20"/>
        </w:rPr>
        <w:t>conduct</w:t>
      </w:r>
      <w:r>
        <w:rPr>
          <w:color w:val="231F20"/>
        </w:rPr>
        <w:t xml:space="preserve"> </w:t>
      </w:r>
      <w:r>
        <w:rPr>
          <w:rFonts w:ascii="Times New Roman;serif" w:hAnsi="Times New Roman;serif"/>
          <w:b w:val="false"/>
          <w:color w:val="231F20"/>
          <w:sz w:val="20"/>
        </w:rPr>
        <w:t>our current</w:t>
      </w:r>
      <w:r>
        <w:rPr>
          <w:color w:val="231F20"/>
        </w:rPr>
        <w:t xml:space="preserve"> </w:t>
      </w:r>
      <w:r>
        <w:rPr>
          <w:rFonts w:ascii="Times New Roman;serif" w:hAnsi="Times New Roman;serif"/>
          <w:b w:val="false"/>
          <w:color w:val="231F20"/>
          <w:sz w:val="20"/>
        </w:rPr>
        <w:t>and future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continue</w:t>
      </w:r>
      <w:r>
        <w:rPr>
          <w:color w:val="231F20"/>
        </w:rPr>
        <w:t xml:space="preserve"> </w:t>
      </w:r>
      <w:r>
        <w:rPr>
          <w:rFonts w:ascii="Times New Roman;serif" w:hAnsi="Times New Roman;serif"/>
          <w:b w:val="false"/>
          <w:color w:val="231F20"/>
          <w:sz w:val="20"/>
        </w:rPr>
        <w:t>our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utilize</w:t>
      </w:r>
      <w:r>
        <w:rPr>
          <w:color w:val="231F20"/>
        </w:rPr>
        <w:t xml:space="preserve"> </w:t>
      </w:r>
      <w:r>
        <w:rPr>
          <w:rFonts w:ascii="Times New Roman;serif" w:hAnsi="Times New Roman;serif"/>
          <w:b w:val="false"/>
          <w:color w:val="231F20"/>
          <w:sz w:val="20"/>
        </w:rPr>
        <w:t>third</w:t>
      </w:r>
      <w:r>
        <w:rPr>
          <w:color w:val="231F20"/>
        </w:rPr>
        <w:t xml:space="preserve"> </w:t>
      </w:r>
      <w:r>
        <w:rPr>
          <w:rFonts w:ascii="Times New Roman;serif" w:hAnsi="Times New Roman;serif"/>
          <w:b w:val="false"/>
          <w:color w:val="231F20"/>
          <w:sz w:val="20"/>
        </w:rPr>
        <w:t>parties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manufacture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raw</w:t>
      </w:r>
      <w:r>
        <w:rPr>
          <w:color w:val="231F20"/>
        </w:rPr>
        <w:t xml:space="preserve"> </w:t>
      </w:r>
      <w:r>
        <w:rPr>
          <w:rFonts w:ascii="Times New Roman;serif" w:hAnsi="Times New Roman;serif"/>
          <w:b w:val="false"/>
          <w:color w:val="231F20"/>
          <w:sz w:val="20"/>
        </w:rPr>
        <w:t>materials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should</w:t>
      </w:r>
      <w:r>
        <w:rPr>
          <w:color w:val="231F20"/>
        </w:rPr>
        <w:t xml:space="preserve"> </w:t>
      </w:r>
      <w:r>
        <w:rPr>
          <w:rFonts w:ascii="Times New Roman;serif" w:hAnsi="Times New Roman;serif"/>
          <w:b w:val="false"/>
          <w:color w:val="231F20"/>
          <w:sz w:val="20"/>
        </w:rPr>
        <w:t>we decide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do</w:t>
      </w:r>
      <w:r>
        <w:rPr>
          <w:color w:val="231F20"/>
        </w:rPr>
        <w:t xml:space="preserve"> </w:t>
      </w:r>
      <w:r>
        <w:rPr>
          <w:rFonts w:ascii="Times New Roman;serif" w:hAnsi="Times New Roman;serif"/>
          <w:b w:val="false"/>
          <w:color w:val="231F20"/>
          <w:sz w:val="20"/>
        </w:rPr>
        <w:t>so, build</w:t>
      </w:r>
      <w:r>
        <w:rPr>
          <w:color w:val="231F20"/>
        </w:rPr>
        <w:t xml:space="preserve"> </w:t>
      </w:r>
      <w:r>
        <w:rPr>
          <w:rFonts w:ascii="Times New Roman;serif" w:hAnsi="Times New Roman;serif"/>
          <w:b w:val="false"/>
          <w:color w:val="231F20"/>
          <w:sz w:val="20"/>
        </w:rPr>
        <w:t>and maintain</w:t>
      </w:r>
      <w:r>
        <w:rPr>
          <w:color w:val="231F20"/>
        </w:rPr>
        <w:t xml:space="preserve"> </w:t>
      </w:r>
      <w:r>
        <w:rPr>
          <w:rFonts w:ascii="Times New Roman;serif" w:hAnsi="Times New Roman;serif"/>
          <w:b w:val="false"/>
          <w:color w:val="231F20"/>
          <w:sz w:val="20"/>
        </w:rPr>
        <w:t>a commercial-scale</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good manufacturing</w:t>
      </w:r>
      <w:r>
        <w:rPr>
          <w:color w:val="231F20"/>
        </w:rPr>
        <w:t xml:space="preserve"> </w:t>
      </w:r>
      <w:r>
        <w:rPr>
          <w:rFonts w:ascii="Times New Roman;serif" w:hAnsi="Times New Roman;serif"/>
          <w:b w:val="false"/>
          <w:color w:val="231F20"/>
          <w:sz w:val="20"/>
        </w:rPr>
        <w:t>practice,</w:t>
      </w:r>
      <w:r>
        <w:rPr>
          <w:color w:val="231F20"/>
        </w:rPr>
        <w:t xml:space="preserve"> </w:t>
      </w:r>
      <w:r>
        <w:rPr>
          <w:rFonts w:ascii="Times New Roman;serif" w:hAnsi="Times New Roman;serif"/>
          <w:b w:val="false"/>
          <w:color w:val="231F20"/>
          <w:sz w:val="20"/>
        </w:rPr>
        <w:t>or cGMP, manufacturing</w:t>
      </w:r>
      <w:r>
        <w:rPr>
          <w:color w:val="231F20"/>
        </w:rPr>
        <w:t xml:space="preserve"> </w:t>
      </w:r>
      <w:r>
        <w:rPr>
          <w:rFonts w:ascii="Times New Roman;serif" w:hAnsi="Times New Roman;serif"/>
          <w:b w:val="false"/>
          <w:color w:val="231F20"/>
          <w:sz w:val="20"/>
        </w:rPr>
        <w:t>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hire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and commercial,</w:t>
      </w:r>
      <w:r>
        <w:rPr>
          <w:color w:val="231F20"/>
        </w:rPr>
        <w:t xml:space="preserve"> </w:t>
      </w:r>
      <w:r>
        <w:rPr>
          <w:rFonts w:ascii="Times New Roman;serif" w:hAnsi="Times New Roman;serif"/>
          <w:b w:val="false"/>
          <w:color w:val="231F20"/>
          <w:sz w:val="20"/>
        </w:rPr>
        <w:t>and operational</w:t>
      </w:r>
      <w:r>
        <w:rPr>
          <w:color w:val="231F20"/>
        </w:rPr>
        <w:t xml:space="preserve"> </w:t>
      </w:r>
      <w:r>
        <w:rPr>
          <w:rFonts w:ascii="Times New Roman;serif" w:hAnsi="Times New Roman;serif"/>
          <w:b w:val="false"/>
          <w:color w:val="231F20"/>
          <w:sz w:val="20"/>
        </w:rPr>
        <w:t>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add quality</w:t>
      </w:r>
      <w:r>
        <w:rPr>
          <w:color w:val="231F20"/>
        </w:rPr>
        <w:t xml:space="preserve"> </w:t>
      </w:r>
      <w:r>
        <w:rPr>
          <w:rFonts w:ascii="Times New Roman;serif" w:hAnsi="Times New Roman;serif"/>
          <w:b w:val="false"/>
          <w:color w:val="231F20"/>
          <w:sz w:val="20"/>
        </w:rPr>
        <w:t>control,</w:t>
      </w:r>
      <w:r>
        <w:rPr>
          <w:color w:val="231F20"/>
        </w:rPr>
        <w:t xml:space="preserve"> </w:t>
      </w:r>
      <w:r>
        <w:rPr>
          <w:rFonts w:ascii="Times New Roman;serif" w:hAnsi="Times New Roman;serif"/>
          <w:b w:val="false"/>
          <w:color w:val="231F20"/>
          <w:sz w:val="20"/>
        </w:rPr>
        <w:t>quality</w:t>
      </w:r>
      <w:r>
        <w:rPr>
          <w:color w:val="231F20"/>
        </w:rPr>
        <w:t xml:space="preserve"> </w:t>
      </w:r>
      <w:r>
        <w:rPr>
          <w:rFonts w:ascii="Times New Roman;serif" w:hAnsi="Times New Roman;serif"/>
          <w:b w:val="false"/>
          <w:color w:val="231F20"/>
          <w:sz w:val="20"/>
        </w:rPr>
        <w:t>assurance,</w:t>
      </w:r>
      <w:r>
        <w:rPr>
          <w:color w:val="231F20"/>
        </w:rPr>
        <w:t xml:space="preserve"> </w:t>
      </w:r>
      <w:r>
        <w:rPr>
          <w:rFonts w:ascii="Times New Roman;serif" w:hAnsi="Times New Roman;serif"/>
          <w:b w:val="false"/>
          <w:color w:val="231F20"/>
          <w:sz w:val="20"/>
        </w:rPr>
        <w:t>legal,</w:t>
      </w:r>
      <w:r>
        <w:rPr>
          <w:color w:val="231F20"/>
        </w:rPr>
        <w:t xml:space="preserve"> </w:t>
      </w:r>
      <w:r>
        <w:rPr>
          <w:rFonts w:ascii="Times New Roman;serif" w:hAnsi="Times New Roman;serif"/>
          <w:b w:val="false"/>
          <w:color w:val="231F20"/>
          <w:sz w:val="20"/>
        </w:rPr>
        <w:t>compliance,</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groups</w:t>
      </w:r>
      <w:r>
        <w:rPr>
          <w:color w:val="231F20"/>
        </w:rPr>
        <w:t xml:space="preserve"> </w:t>
      </w:r>
      <w:r>
        <w:rPr>
          <w:rFonts w:ascii="Times New Roman;serif" w:hAnsi="Times New Roman;serif"/>
          <w:b w:val="false"/>
          <w:color w:val="231F20"/>
          <w:sz w:val="20"/>
        </w:rPr>
        <w:t>to support</w:t>
      </w:r>
      <w:r>
        <w:rPr>
          <w:color w:val="231F20"/>
        </w:rPr>
        <w:t xml:space="preserve"> </w:t>
      </w:r>
      <w:r>
        <w:rPr>
          <w:rFonts w:ascii="Times New Roman;serif" w:hAnsi="Times New Roman;serif"/>
          <w:b w:val="false"/>
          <w:color w:val="231F20"/>
          <w:sz w:val="20"/>
        </w:rPr>
        <w:t>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maintain,</w:t>
      </w:r>
      <w:r>
        <w:rPr>
          <w:color w:val="231F20"/>
        </w:rPr>
        <w:t xml:space="preserve"> </w:t>
      </w:r>
      <w:r>
        <w:rPr>
          <w:rFonts w:ascii="Times New Roman;serif" w:hAnsi="Times New Roman;serif"/>
          <w:b w:val="false"/>
          <w:color w:val="231F20"/>
          <w:sz w:val="20"/>
        </w:rPr>
        <w:t>expand,</w:t>
      </w:r>
      <w:r>
        <w:rPr>
          <w:color w:val="231F20"/>
        </w:rPr>
        <w:t xml:space="preserve"> </w:t>
      </w:r>
      <w:r>
        <w:rPr>
          <w:rFonts w:ascii="Times New Roman;serif" w:hAnsi="Times New Roman;serif"/>
          <w:b w:val="false"/>
          <w:color w:val="231F20"/>
          <w:sz w:val="20"/>
        </w:rPr>
        <w:t>enforce,</w:t>
      </w:r>
      <w:r>
        <w:rPr>
          <w:color w:val="231F20"/>
        </w:rPr>
        <w:t xml:space="preserve"> </w:t>
      </w:r>
      <w:r>
        <w:rPr>
          <w:rFonts w:ascii="Times New Roman;serif" w:hAnsi="Times New Roman;serif"/>
          <w:b w:val="false"/>
          <w:color w:val="231F20"/>
          <w:sz w:val="20"/>
        </w:rPr>
        <w:t>defend</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protect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intellectual</w:t>
      </w:r>
      <w:r>
        <w:rPr>
          <w:color w:val="231F20"/>
        </w:rPr>
        <w:t xml:space="preserve"> </w:t>
      </w:r>
      <w:r>
        <w:rPr>
          <w:rFonts w:ascii="Times New Roman;serif" w:hAnsi="Times New Roman;serif"/>
          <w:b w:val="false"/>
          <w:color w:val="231F20"/>
          <w:sz w:val="20"/>
        </w:rPr>
        <w:t>property</w:t>
      </w:r>
      <w:r>
        <w:rPr>
          <w:color w:val="231F20"/>
        </w:rPr>
        <w:t xml:space="preserve"> </w:t>
      </w:r>
      <w:r>
        <w:rPr>
          <w:rFonts w:ascii="Times New Roman;serif" w:hAnsi="Times New Roman;serif"/>
          <w:b w:val="false"/>
          <w:color w:val="231F20"/>
          <w:sz w:val="20"/>
        </w:rPr>
        <w:t>portfolio</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intellectual property</w:t>
      </w:r>
      <w:r>
        <w:rPr>
          <w:color w:val="231F20"/>
        </w:rPr>
        <w:t xml:space="preserve"> </w:t>
      </w:r>
      <w:r>
        <w:rPr>
          <w:rFonts w:ascii="Times New Roman;serif" w:hAnsi="Times New Roman;serif"/>
          <w:b w:val="false"/>
          <w:color w:val="231F20"/>
          <w:sz w:val="20"/>
        </w:rPr>
        <w:t>obtained</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license</w:t>
      </w:r>
      <w:r>
        <w:rPr>
          <w:color w:val="231F20"/>
        </w:rPr>
        <w:t xml:space="preserve"> </w:t>
      </w:r>
      <w:r>
        <w:rPr>
          <w:rFonts w:ascii="Times New Roman;serif" w:hAnsi="Times New Roman;serif"/>
          <w:b w:val="false"/>
          <w:color w:val="231F20"/>
          <w:sz w:val="20"/>
        </w:rPr>
        <w:t>agreements)</w:t>
      </w:r>
      <w:r>
        <w:rPr>
          <w:color w:val="231F20"/>
        </w:rPr>
        <w:t xml:space="preserve"> </w:t>
      </w:r>
      <w:r>
        <w:rPr>
          <w:rFonts w:ascii="Times New Roman;serif" w:hAnsi="Times New Roman;serif"/>
          <w:b w:val="false"/>
          <w:color w:val="231F20"/>
          <w:sz w:val="20"/>
        </w:rPr>
        <w:t>and provide</w:t>
      </w:r>
      <w:r>
        <w:rPr>
          <w:color w:val="231F20"/>
        </w:rPr>
        <w:t xml:space="preserve"> </w:t>
      </w:r>
      <w:r>
        <w:rPr>
          <w:rFonts w:ascii="Times New Roman;serif" w:hAnsi="Times New Roman;serif"/>
          <w:b w:val="false"/>
          <w:color w:val="231F20"/>
          <w:sz w:val="20"/>
        </w:rPr>
        <w:t>reimbursement</w:t>
      </w:r>
      <w:r>
        <w:rPr>
          <w:color w:val="231F20"/>
        </w:rPr>
        <w:t xml:space="preserve"> </w:t>
      </w:r>
      <w:r>
        <w:rPr>
          <w:rFonts w:ascii="Times New Roman;serif" w:hAnsi="Times New Roman;serif"/>
          <w:b w:val="false"/>
          <w:color w:val="231F20"/>
          <w:sz w:val="20"/>
        </w:rPr>
        <w:t>of third-party</w:t>
      </w:r>
      <w:r>
        <w:rPr>
          <w:color w:val="231F20"/>
        </w:rPr>
        <w:t xml:space="preserve"> </w:t>
      </w:r>
      <w:r>
        <w:rPr>
          <w:rFonts w:ascii="Times New Roman;serif" w:hAnsi="Times New Roman;serif"/>
          <w:b w:val="false"/>
          <w:color w:val="231F20"/>
          <w:sz w:val="20"/>
        </w:rPr>
        <w:t>expenses related</w:t>
      </w:r>
      <w:r>
        <w:rPr>
          <w:color w:val="231F20"/>
        </w:rPr>
        <w:t xml:space="preserve"> </w:t>
      </w:r>
      <w:r>
        <w:rPr>
          <w:rFonts w:ascii="Times New Roman;serif" w:hAnsi="Times New Roman;serif"/>
          <w:b w:val="false"/>
          <w:color w:val="231F20"/>
          <w:sz w:val="20"/>
        </w:rPr>
        <w:t>to our patent</w:t>
      </w:r>
      <w:r>
        <w:rPr>
          <w:color w:val="231F20"/>
        </w:rPr>
        <w:t xml:space="preserve"> </w:t>
      </w:r>
      <w:r>
        <w:rPr>
          <w:rFonts w:ascii="Times New Roman;serif" w:hAnsi="Times New Roman;serif"/>
          <w:b w:val="false"/>
          <w:color w:val="231F20"/>
          <w:sz w:val="20"/>
        </w:rPr>
        <w:t>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seek</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approvals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ficerafusp alfa or</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we successfully</w:t>
      </w:r>
      <w:r>
        <w:rPr>
          <w:color w:val="231F20"/>
        </w:rPr>
        <w:t xml:space="preserve"> </w:t>
      </w:r>
      <w:r>
        <w:rPr>
          <w:rFonts w:ascii="Times New Roman;serif" w:hAnsi="Times New Roman;serif"/>
          <w:b w:val="false"/>
          <w:color w:val="231F20"/>
          <w:sz w:val="20"/>
        </w:rPr>
        <w:t>complete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ultimately</w:t>
      </w:r>
      <w:r>
        <w:rPr>
          <w:color w:val="231F20"/>
        </w:rPr>
        <w:t xml:space="preserve"> </w:t>
      </w:r>
      <w:r>
        <w:rPr>
          <w:rFonts w:ascii="Times New Roman;serif" w:hAnsi="Times New Roman;serif"/>
          <w:b w:val="false"/>
          <w:color w:val="231F20"/>
          <w:sz w:val="20"/>
        </w:rPr>
        <w:t>establish</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marketing</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distribution</w:t>
      </w:r>
      <w:r>
        <w:rPr>
          <w:color w:val="231F20"/>
        </w:rPr>
        <w:t xml:space="preserve"> </w:t>
      </w:r>
      <w:r>
        <w:rPr>
          <w:rFonts w:ascii="Times New Roman;serif" w:hAnsi="Times New Roman;serif"/>
          <w:b w:val="false"/>
          <w:color w:val="231F20"/>
          <w:sz w:val="20"/>
        </w:rPr>
        <w:t>infrastructure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commercialize</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 or any 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which we may</w:t>
      </w:r>
      <w:r>
        <w:rPr>
          <w:color w:val="231F20"/>
        </w:rPr>
        <w:t xml:space="preserve"> </w:t>
      </w:r>
      <w:r>
        <w:rPr>
          <w:rFonts w:ascii="Times New Roman;serif" w:hAnsi="Times New Roman;serif"/>
          <w:b w:val="false"/>
          <w:color w:val="231F20"/>
          <w:sz w:val="20"/>
        </w:rPr>
        <w:t>obtain</w:t>
      </w:r>
      <w:r>
        <w:rPr>
          <w:color w:val="231F20"/>
        </w:rPr>
        <w:t xml:space="preserve"> </w:t>
      </w:r>
      <w:r>
        <w:rPr>
          <w:rFonts w:ascii="Times New Roman;serif" w:hAnsi="Times New Roman;serif"/>
          <w:b w:val="false"/>
          <w:color w:val="231F20"/>
          <w:sz w:val="20"/>
        </w:rPr>
        <w:t>marketing</w:t>
      </w:r>
      <w:r>
        <w:rPr>
          <w:color w:val="231F20"/>
        </w:rPr>
        <w:t xml:space="preserve"> </w:t>
      </w:r>
      <w:r>
        <w:rPr>
          <w:rFonts w:ascii="Times New Roman;serif" w:hAnsi="Times New Roman;serif"/>
          <w:b w:val="false"/>
          <w:color w:val="231F20"/>
          <w:sz w:val="20"/>
        </w:rPr>
        <w:t>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make</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payments</w:t>
      </w:r>
      <w:r>
        <w:rPr>
          <w:color w:val="231F20"/>
        </w:rPr>
        <w:t xml:space="preserve"> </w:t>
      </w:r>
      <w:r>
        <w:rPr>
          <w:rFonts w:ascii="Times New Roman;serif" w:hAnsi="Times New Roman;serif"/>
          <w:b w:val="false"/>
          <w:color w:val="231F20"/>
          <w:sz w:val="20"/>
        </w:rPr>
        <w:t>due</w:t>
      </w:r>
      <w:r>
        <w:rPr>
          <w:color w:val="231F20"/>
        </w:rPr>
        <w:t xml:space="preserve"> </w:t>
      </w:r>
      <w:r>
        <w:rPr>
          <w:rFonts w:ascii="Times New Roman;serif" w:hAnsi="Times New Roman;serif"/>
          <w:b w:val="false"/>
          <w:color w:val="231F20"/>
          <w:sz w:val="20"/>
        </w:rPr>
        <w:t>under</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license</w:t>
      </w:r>
      <w:r>
        <w:rPr>
          <w:color w:val="231F20"/>
        </w:rPr>
        <w:t xml:space="preserve"> </w:t>
      </w:r>
      <w:r>
        <w:rPr>
          <w:rFonts w:ascii="Times New Roman;serif" w:hAnsi="Times New Roman;serif"/>
          <w:b w:val="false"/>
          <w:color w:val="231F20"/>
          <w:sz w:val="20"/>
        </w:rPr>
        <w:t>agreements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milestones,</w:t>
      </w:r>
      <w:r>
        <w:rPr>
          <w:color w:val="231F20"/>
        </w:rPr>
        <w:t xml:space="preserve"> </w:t>
      </w:r>
      <w:r>
        <w:rPr>
          <w:rFonts w:ascii="Times New Roman;serif" w:hAnsi="Times New Roman;serif"/>
          <w:b w:val="false"/>
          <w:color w:val="231F20"/>
          <w:sz w:val="20"/>
        </w:rPr>
        <w:t>royalties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other payments</w:t>
      </w:r>
      <w:r>
        <w:rPr>
          <w:color w:val="231F20"/>
        </w:rPr>
        <w:t xml:space="preserve"> </w:t>
      </w:r>
      <w:r>
        <w:rPr>
          <w:rFonts w:ascii="Times New Roman;serif" w:hAnsi="Times New Roman;serif"/>
          <w:b w:val="false"/>
          <w:color w:val="231F20"/>
          <w:sz w:val="20"/>
        </w:rPr>
        <w:t>due under</w:t>
      </w:r>
      <w:r>
        <w:rPr>
          <w:color w:val="231F20"/>
        </w:rPr>
        <w:t xml:space="preserve"> </w:t>
      </w:r>
      <w:r>
        <w:rPr>
          <w:rFonts w:ascii="Times New Roman;serif" w:hAnsi="Times New Roman;serif"/>
          <w:b w:val="false"/>
          <w:color w:val="231F20"/>
          <w:sz w:val="20"/>
        </w:rPr>
        <w:t>any future</w:t>
      </w:r>
      <w:r>
        <w:rPr>
          <w:color w:val="231F20"/>
        </w:rPr>
        <w:t xml:space="preserve"> </w:t>
      </w:r>
      <w:r>
        <w:rPr>
          <w:rFonts w:ascii="Times New Roman;serif" w:hAnsi="Times New Roman;serif"/>
          <w:b w:val="false"/>
          <w:color w:val="231F20"/>
          <w:sz w:val="20"/>
        </w:rPr>
        <w:t>in-license</w:t>
      </w:r>
      <w:r>
        <w:rPr>
          <w:color w:val="231F20"/>
        </w:rPr>
        <w:t xml:space="preserve"> </w:t>
      </w:r>
      <w:r>
        <w:rPr>
          <w:rFonts w:ascii="Times New Roman;serif" w:hAnsi="Times New Roman;serif"/>
          <w:b w:val="false"/>
          <w:color w:val="231F20"/>
          <w:sz w:val="20"/>
        </w:rPr>
        <w:t>or collaboration</w:t>
      </w:r>
      <w:r>
        <w:rPr>
          <w:color w:val="231F20"/>
        </w:rPr>
        <w:t xml:space="preserve"> </w:t>
      </w:r>
      <w:r>
        <w:rPr>
          <w:rFonts w:ascii="Times New Roman;serif" w:hAnsi="Times New Roman;serif"/>
          <w:b w:val="false"/>
          <w:color w:val="231F20"/>
          <w:sz w:val="20"/>
        </w:rPr>
        <w:t xml:space="preserve">agreements; and </w:t>
      </w:r>
    </w:p>
    <w:p>
      <w:pPr>
        <w:pStyle w:val="TextBody"/>
        <w:bidi w:val="0"/>
        <w:spacing w:lineRule="auto" w:line="288" w:before="120" w:after="200"/>
        <w:ind w:left="0" w:right="0" w:hanging="360"/>
        <w:jc w:val="both"/>
        <w:rPr/>
      </w:pPr>
      <w:r>
        <w:rPr>
          <w:color w:val="000000"/>
        </w:rPr>
        <w:t>•</w:t>
      </w:r>
      <w:r>
        <w:rPr>
          <w:rFonts w:ascii="Times New Roman;serif" w:hAnsi="Times New Roman;serif"/>
          <w:b w:val="false"/>
          <w:color w:val="000000"/>
          <w:sz w:val="20"/>
        </w:rPr>
        <w:t>incur additional costs associated with being a public company.</w:t>
      </w:r>
    </w:p>
    <w:p>
      <w:pPr>
        <w:pStyle w:val="TextBody"/>
        <w:bidi w:val="0"/>
        <w:spacing w:lineRule="auto" w:line="288" w:before="200" w:after="283"/>
        <w:jc w:val="both"/>
        <w:rPr/>
      </w:pP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losses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fluctuate</w:t>
      </w:r>
      <w:r>
        <w:rPr>
          <w:color w:val="231F20"/>
        </w:rPr>
        <w:t xml:space="preserve"> </w:t>
      </w:r>
      <w:r>
        <w:rPr>
          <w:rFonts w:ascii="Times New Roman;serif" w:hAnsi="Times New Roman;serif"/>
          <w:b w:val="false"/>
          <w:color w:val="231F20"/>
          <w:sz w:val="20"/>
        </w:rPr>
        <w:t>significantly</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quarter-to-quarter</w:t>
      </w:r>
      <w:r>
        <w:rPr>
          <w:color w:val="231F20"/>
        </w:rPr>
        <w:t xml:space="preserve"> </w:t>
      </w:r>
      <w:r>
        <w:rPr>
          <w:rFonts w:ascii="Times New Roman;serif" w:hAnsi="Times New Roman;serif"/>
          <w:b w:val="false"/>
          <w:color w:val="231F20"/>
          <w:sz w:val="20"/>
        </w:rPr>
        <w:t>and year-to-year,</w:t>
      </w:r>
      <w:r>
        <w:rPr>
          <w:color w:val="231F20"/>
        </w:rPr>
        <w:t xml:space="preserve"> </w:t>
      </w:r>
      <w:r>
        <w:rPr>
          <w:rFonts w:ascii="Times New Roman;serif" w:hAnsi="Times New Roman;serif"/>
          <w:b w:val="false"/>
          <w:color w:val="231F20"/>
          <w:sz w:val="20"/>
        </w:rPr>
        <w:t>depending</w:t>
      </w:r>
      <w:r>
        <w:rPr>
          <w:color w:val="231F20"/>
        </w:rPr>
        <w:t xml:space="preserve"> </w:t>
      </w:r>
      <w:r>
        <w:rPr>
          <w:rFonts w:ascii="Times New Roman;serif" w:hAnsi="Times New Roman;serif"/>
          <w:b w:val="false"/>
          <w:color w:val="231F20"/>
          <w:sz w:val="20"/>
        </w:rPr>
        <w:t>on the</w:t>
      </w:r>
      <w:r>
        <w:rPr>
          <w:color w:val="231F20"/>
        </w:rPr>
        <w:t xml:space="preserve"> </w:t>
      </w:r>
      <w:r>
        <w:rPr>
          <w:rFonts w:ascii="Times New Roman;serif" w:hAnsi="Times New Roman;serif"/>
          <w:b w:val="false"/>
          <w:color w:val="231F20"/>
          <w:sz w:val="20"/>
        </w:rPr>
        <w:t>timing of our planned</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 manufacturing and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activities.</w:t>
      </w:r>
    </w:p>
    <w:p>
      <w:pPr>
        <w:pStyle w:val="TextBody"/>
        <w:bidi w:val="0"/>
        <w:spacing w:lineRule="auto" w:line="288" w:before="200" w:after="200"/>
        <w:jc w:val="both"/>
        <w:rPr/>
      </w:pP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upon our current</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plans,</w:t>
      </w:r>
      <w:r>
        <w:rPr>
          <w:color w:val="231F20"/>
        </w:rPr>
        <w:t xml:space="preserve"> </w:t>
      </w:r>
      <w:r>
        <w:rPr>
          <w:rFonts w:ascii="Times New Roman;serif" w:hAnsi="Times New Roman;serif"/>
          <w:b w:val="false"/>
          <w:color w:val="231F20"/>
          <w:sz w:val="20"/>
        </w:rPr>
        <w:t>we believe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existing</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equivalents and marketable securities,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sufficient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operations and capital expenditure requirements into the first half of 2029. Without</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funding,</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believe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have sufficient</w:t>
      </w:r>
      <w:r>
        <w:rPr>
          <w:color w:val="231F20"/>
        </w:rPr>
        <w:t xml:space="preserve"> </w:t>
      </w:r>
      <w:r>
        <w:rPr>
          <w:rFonts w:ascii="Times New Roman;serif" w:hAnsi="Times New Roman;serif"/>
          <w:b w:val="false"/>
          <w:color w:val="231F20"/>
          <w:sz w:val="20"/>
        </w:rPr>
        <w:t>funds</w:t>
      </w:r>
      <w:r>
        <w:rPr>
          <w:color w:val="231F20"/>
        </w:rPr>
        <w:t xml:space="preserve"> </w:t>
      </w:r>
      <w:r>
        <w:rPr>
          <w:rFonts w:ascii="Times New Roman;serif" w:hAnsi="Times New Roman;serif"/>
          <w:b w:val="false"/>
          <w:color w:val="231F20"/>
          <w:sz w:val="20"/>
        </w:rPr>
        <w:t>to meet</w:t>
      </w:r>
      <w:r>
        <w:rPr>
          <w:color w:val="231F20"/>
        </w:rPr>
        <w:t xml:space="preserve"> </w:t>
      </w:r>
      <w:r>
        <w:rPr>
          <w:rFonts w:ascii="Times New Roman;serif" w:hAnsi="Times New Roman;serif"/>
          <w:b w:val="false"/>
          <w:color w:val="231F20"/>
          <w:sz w:val="20"/>
        </w:rPr>
        <w:t>our obligations</w:t>
      </w:r>
      <w:r>
        <w:rPr>
          <w:color w:val="231F20"/>
        </w:rPr>
        <w:t xml:space="preserve"> </w:t>
      </w:r>
      <w:r>
        <w:rPr>
          <w:rFonts w:ascii="Times New Roman;serif" w:hAnsi="Times New Roman;serif"/>
          <w:b w:val="false"/>
          <w:color w:val="231F20"/>
          <w:sz w:val="20"/>
        </w:rPr>
        <w:t>within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next twelve</w:t>
      </w:r>
      <w:r>
        <w:rPr>
          <w:color w:val="231F20"/>
        </w:rPr>
        <w:t xml:space="preserve"> </w:t>
      </w:r>
      <w:r>
        <w:rPr>
          <w:rFonts w:ascii="Times New Roman;serif" w:hAnsi="Times New Roman;serif"/>
          <w:b w:val="false"/>
          <w:color w:val="231F20"/>
          <w:sz w:val="20"/>
        </w:rPr>
        <w:t>months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date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issuance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condensed 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do not expect</w:t>
      </w:r>
      <w:r>
        <w:rPr>
          <w:color w:val="231F20"/>
        </w:rPr>
        <w:t xml:space="preserve"> </w:t>
      </w:r>
      <w:r>
        <w:rPr>
          <w:rFonts w:ascii="Times New Roman;serif" w:hAnsi="Times New Roman;serif"/>
          <w:b w:val="false"/>
          <w:color w:val="231F20"/>
          <w:sz w:val="20"/>
        </w:rPr>
        <w:t>to generate</w:t>
      </w:r>
      <w:r>
        <w:rPr>
          <w:color w:val="231F20"/>
        </w:rPr>
        <w:t xml:space="preserve"> </w:t>
      </w:r>
      <w:r>
        <w:rPr>
          <w:rFonts w:ascii="Times New Roman;serif" w:hAnsi="Times New Roman;serif"/>
          <w:b w:val="false"/>
          <w:color w:val="231F20"/>
          <w:sz w:val="20"/>
        </w:rPr>
        <w:t>any revenue</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unless</w:t>
      </w:r>
      <w:r>
        <w:rPr>
          <w:color w:val="231F20"/>
        </w:rPr>
        <w:t xml:space="preserve"> </w:t>
      </w:r>
      <w:r>
        <w:rPr>
          <w:rFonts w:ascii="Times New Roman;serif" w:hAnsi="Times New Roman;serif"/>
          <w:b w:val="false"/>
          <w:color w:val="231F20"/>
          <w:sz w:val="20"/>
        </w:rPr>
        <w:t>and until</w:t>
      </w:r>
      <w:r>
        <w:rPr>
          <w:color w:val="231F20"/>
        </w:rPr>
        <w:t xml:space="preserve"> </w:t>
      </w:r>
      <w:r>
        <w:rPr>
          <w:rFonts w:ascii="Times New Roman;serif" w:hAnsi="Times New Roman;serif"/>
          <w:b w:val="false"/>
          <w:color w:val="231F20"/>
          <w:sz w:val="20"/>
        </w:rPr>
        <w:t>we successfully complete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and obtain</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approval</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or 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 which will not be for at least the next several years, if ever. If we obtain regulatory approval for ficerafusp alfa or any of our future product candidates,</w:t>
      </w:r>
      <w:r>
        <w:rPr>
          <w:color w:val="231F20"/>
        </w:rPr>
        <w:t xml:space="preserve"> </w:t>
      </w:r>
      <w:r>
        <w:rPr>
          <w:rFonts w:ascii="Times New Roman;serif" w:hAnsi="Times New Roman;serif"/>
          <w:b w:val="false"/>
          <w:color w:val="231F20"/>
          <w:sz w:val="20"/>
        </w:rPr>
        <w:t xml:space="preserve">we expect to incur significant commercialization expenses related to product sales, marketing, manufacturing and distribution. Accordingly, until such time as we can generate significant revenue from sales of our product candidate, if ever, we expect to finance our cash needs through equity offerings, debt financings or other capital sources, including potential collaborations, licenses and other similar arrangements. See the section titled “Liquidity and Capital Resources” below. However, we may be unable to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231F20"/>
          <w:sz w:val="20"/>
        </w:rPr>
        <w:t>Components of Results</w:t>
      </w:r>
      <w:r>
        <w:rPr>
          <w:color w:val="231F20"/>
        </w:rPr>
        <w:t xml:space="preserve"> </w:t>
      </w:r>
      <w:r>
        <w:rPr>
          <w:rFonts w:ascii="Times New Roman;serif" w:hAnsi="Times New Roman;serif"/>
          <w:b/>
          <w:color w:val="231F20"/>
          <w:sz w:val="20"/>
        </w:rPr>
        <w:t>of Operations</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Revenue</w:t>
      </w:r>
    </w:p>
    <w:p>
      <w:pPr>
        <w:pStyle w:val="TextBody"/>
        <w:bidi w:val="0"/>
        <w:spacing w:lineRule="auto" w:line="288" w:before="200" w:after="283"/>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no</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approved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sale,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not</w:t>
      </w:r>
      <w:r>
        <w:rPr>
          <w:color w:val="231F20"/>
        </w:rPr>
        <w:t xml:space="preserve"> </w:t>
      </w:r>
      <w:r>
        <w:rPr>
          <w:rFonts w:ascii="Times New Roman;serif" w:hAnsi="Times New Roman;serif"/>
          <w:b w:val="false"/>
          <w:color w:val="231F20"/>
          <w:sz w:val="20"/>
        </w:rPr>
        <w:t>generated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date.</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 future,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generate</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collaboration</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license</w:t>
      </w:r>
      <w:r>
        <w:rPr>
          <w:color w:val="231F20"/>
        </w:rPr>
        <w:t xml:space="preserve"> </w:t>
      </w:r>
      <w:r>
        <w:rPr>
          <w:rFonts w:ascii="Times New Roman;serif" w:hAnsi="Times New Roman;serif"/>
          <w:b w:val="false"/>
          <w:color w:val="231F20"/>
          <w:sz w:val="20"/>
        </w:rPr>
        <w:t>agreements</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enter</w:t>
      </w:r>
      <w:r>
        <w:rPr>
          <w:color w:val="231F20"/>
        </w:rPr>
        <w:t xml:space="preserve"> </w:t>
      </w:r>
      <w:r>
        <w:rPr>
          <w:rFonts w:ascii="Times New Roman;serif" w:hAnsi="Times New Roman;serif"/>
          <w:b w:val="false"/>
          <w:color w:val="231F20"/>
          <w:sz w:val="20"/>
        </w:rPr>
        <w:t>into</w:t>
      </w:r>
      <w:r>
        <w:rPr>
          <w:color w:val="231F20"/>
        </w:rPr>
        <w:t xml:space="preserve"> </w:t>
      </w:r>
      <w:r>
        <w:rPr>
          <w:rFonts w:ascii="Times New Roman;serif" w:hAnsi="Times New Roman;serif"/>
          <w:b w:val="false"/>
          <w:color w:val="231F20"/>
          <w:sz w:val="20"/>
        </w:rPr>
        <w:t>with respect</w:t>
      </w:r>
      <w:r>
        <w:rPr>
          <w:color w:val="231F20"/>
        </w:rPr>
        <w:t xml:space="preserve"> </w:t>
      </w:r>
      <w:r>
        <w:rPr>
          <w:rFonts w:ascii="Times New Roman;serif" w:hAnsi="Times New Roman;serif"/>
          <w:b w:val="false"/>
          <w:color w:val="231F20"/>
          <w:sz w:val="20"/>
        </w:rPr>
        <w:t>to our 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as well</w:t>
      </w:r>
      <w:r>
        <w:rPr>
          <w:color w:val="231F20"/>
        </w:rPr>
        <w:t xml:space="preserve"> </w:t>
      </w:r>
      <w:r>
        <w:rPr>
          <w:rFonts w:ascii="Times New Roman;serif" w:hAnsi="Times New Roman;serif"/>
          <w:b w:val="false"/>
          <w:color w:val="231F20"/>
          <w:sz w:val="20"/>
        </w:rPr>
        <w:t>as product</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any approved</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which approval</w:t>
      </w:r>
      <w:r>
        <w:rPr>
          <w:color w:val="231F20"/>
        </w:rPr>
        <w:t xml:space="preserve"> </w:t>
      </w:r>
      <w:r>
        <w:rPr>
          <w:rFonts w:ascii="Times New Roman;serif" w:hAnsi="Times New Roman;serif"/>
          <w:b w:val="false"/>
          <w:color w:val="231F20"/>
          <w:sz w:val="20"/>
        </w:rPr>
        <w:t>we do not expect</w:t>
      </w:r>
      <w:r>
        <w:rPr>
          <w:color w:val="231F20"/>
        </w:rPr>
        <w:t xml:space="preserve"> </w:t>
      </w:r>
      <w:r>
        <w:rPr>
          <w:rFonts w:ascii="Times New Roman;serif" w:hAnsi="Times New Roman;serif"/>
          <w:b w:val="false"/>
          <w:color w:val="231F20"/>
          <w:sz w:val="20"/>
        </w:rPr>
        <w:t>to occur for</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least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next</w:t>
      </w:r>
      <w:r>
        <w:rPr>
          <w:color w:val="231F20"/>
        </w:rPr>
        <w:t xml:space="preserve"> </w:t>
      </w:r>
      <w:r>
        <w:rPr>
          <w:rFonts w:ascii="Times New Roman;serif" w:hAnsi="Times New Roman;serif"/>
          <w:b w:val="false"/>
          <w:color w:val="231F20"/>
          <w:sz w:val="20"/>
        </w:rPr>
        <w:t>several</w:t>
      </w:r>
      <w:r>
        <w:rPr>
          <w:color w:val="231F20"/>
        </w:rPr>
        <w:t xml:space="preserve"> </w:t>
      </w:r>
      <w:r>
        <w:rPr>
          <w:rFonts w:ascii="Times New Roman;serif" w:hAnsi="Times New Roman;serif"/>
          <w:b w:val="false"/>
          <w:color w:val="231F20"/>
          <w:sz w:val="20"/>
        </w:rPr>
        <w:t>years,</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ever.</w:t>
      </w:r>
      <w:r>
        <w:rPr>
          <w:color w:val="231F20"/>
        </w:rPr>
        <w:t xml:space="preserve"> </w:t>
      </w:r>
      <w:r>
        <w:rPr>
          <w:rFonts w:ascii="Times New Roman;serif" w:hAnsi="Times New Roman;serif"/>
          <w:b w:val="false"/>
          <w:color w:val="231F20"/>
          <w:sz w:val="20"/>
        </w:rPr>
        <w:t>Our ability</w:t>
      </w:r>
      <w:r>
        <w:rPr>
          <w:color w:val="231F20"/>
        </w:rPr>
        <w:t xml:space="preserve"> </w:t>
      </w:r>
      <w:r>
        <w:rPr>
          <w:rFonts w:ascii="Times New Roman;serif" w:hAnsi="Times New Roman;serif"/>
          <w:b w:val="false"/>
          <w:color w:val="231F20"/>
          <w:sz w:val="20"/>
        </w:rPr>
        <w:t>to generate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depend on the</w:t>
      </w:r>
      <w:r>
        <w:rPr>
          <w:color w:val="231F20"/>
        </w:rPr>
        <w:t xml:space="preserve"> </w:t>
      </w:r>
      <w:r>
        <w:rPr>
          <w:rFonts w:ascii="Times New Roman;serif" w:hAnsi="Times New Roman;serif"/>
          <w:b w:val="false"/>
          <w:color w:val="231F20"/>
          <w:sz w:val="20"/>
        </w:rPr>
        <w:t>successful development</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eventual</w:t>
      </w:r>
      <w:r>
        <w:rPr>
          <w:color w:val="231F20"/>
        </w:rPr>
        <w:t xml:space="preserve"> </w:t>
      </w:r>
      <w:r>
        <w:rPr>
          <w:rFonts w:ascii="Times New Roman;serif" w:hAnsi="Times New Roman;serif"/>
          <w:b w:val="false"/>
          <w:color w:val="231F20"/>
          <w:sz w:val="20"/>
        </w:rPr>
        <w:t>commercialization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pursue.</w:t>
      </w:r>
      <w:r>
        <w:rPr>
          <w:color w:val="231F20"/>
        </w:rPr>
        <w:t xml:space="preserve"> </w:t>
      </w:r>
      <w:r>
        <w:rPr>
          <w:rFonts w:ascii="Times New Roman;serif" w:hAnsi="Times New Roman;serif"/>
          <w:b w:val="false"/>
          <w:color w:val="231F20"/>
          <w:sz w:val="20"/>
        </w:rPr>
        <w:t>If we</w:t>
      </w:r>
      <w:r>
        <w:rPr>
          <w:color w:val="231F20"/>
        </w:rPr>
        <w:t xml:space="preserve"> </w:t>
      </w:r>
      <w:r>
        <w:rPr>
          <w:rFonts w:ascii="Times New Roman;serif" w:hAnsi="Times New Roman;serif"/>
          <w:b w:val="false"/>
          <w:color w:val="231F20"/>
          <w:sz w:val="20"/>
        </w:rPr>
        <w:t>fail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complete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 or to obtain</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approval</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or any future 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our ability</w:t>
      </w:r>
      <w:r>
        <w:rPr>
          <w:color w:val="231F20"/>
        </w:rPr>
        <w:t xml:space="preserve"> </w:t>
      </w:r>
      <w:r>
        <w:rPr>
          <w:rFonts w:ascii="Times New Roman;serif" w:hAnsi="Times New Roman;serif"/>
          <w:b w:val="false"/>
          <w:color w:val="231F20"/>
          <w:sz w:val="20"/>
        </w:rPr>
        <w:t>to generate</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revenues,</w:t>
      </w:r>
      <w:r>
        <w:rPr>
          <w:color w:val="231F20"/>
        </w:rPr>
        <w:t xml:space="preserve"> </w:t>
      </w:r>
      <w:r>
        <w:rPr>
          <w:rFonts w:ascii="Times New Roman;serif" w:hAnsi="Times New Roman;serif"/>
          <w:b w:val="false"/>
          <w:color w:val="231F20"/>
          <w:sz w:val="20"/>
        </w:rPr>
        <w:t>and our results</w:t>
      </w:r>
      <w:r>
        <w:rPr>
          <w:color w:val="231F20"/>
        </w:rPr>
        <w:t xml:space="preserve"> </w:t>
      </w:r>
      <w:r>
        <w:rPr>
          <w:rFonts w:ascii="Times New Roman;serif" w:hAnsi="Times New Roman;serif"/>
          <w:b w:val="false"/>
          <w:color w:val="231F20"/>
          <w:sz w:val="20"/>
        </w:rPr>
        <w:t>of operations</w:t>
      </w:r>
      <w:r>
        <w:rPr>
          <w:color w:val="231F20"/>
        </w:rPr>
        <w:t xml:space="preserve"> </w:t>
      </w:r>
      <w:r>
        <w:rPr>
          <w:rFonts w:ascii="Times New Roman;serif" w:hAnsi="Times New Roman;serif"/>
          <w:b w:val="false"/>
          <w:color w:val="231F20"/>
          <w:sz w:val="20"/>
        </w:rPr>
        <w:t>and financial</w:t>
      </w:r>
      <w:r>
        <w:rPr>
          <w:color w:val="231F20"/>
        </w:rPr>
        <w:t xml:space="preserve"> </w:t>
      </w:r>
      <w:r>
        <w:rPr>
          <w:rFonts w:ascii="Times New Roman;serif" w:hAnsi="Times New Roman;serif"/>
          <w:b w:val="false"/>
          <w:color w:val="231F20"/>
          <w:sz w:val="20"/>
        </w:rPr>
        <w:t>position would be adversely</w:t>
      </w:r>
      <w:r>
        <w:rPr>
          <w:color w:val="231F20"/>
        </w:rPr>
        <w:t xml:space="preserve"> </w:t>
      </w:r>
      <w:r>
        <w:rPr>
          <w:rFonts w:ascii="Times New Roman;serif" w:hAnsi="Times New Roman;serif"/>
          <w:b w:val="false"/>
          <w:color w:val="231F20"/>
          <w:sz w:val="20"/>
        </w:rPr>
        <w:t>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i/>
          <w:color w:val="231F20"/>
          <w:sz w:val="20"/>
        </w:rPr>
        <w:t>Operating</w:t>
      </w:r>
      <w:r>
        <w:rPr>
          <w:color w:val="231F20"/>
        </w:rPr>
        <w:t xml:space="preserve"> </w:t>
      </w:r>
      <w:r>
        <w:rPr>
          <w:rFonts w:ascii="Times New Roman;serif" w:hAnsi="Times New Roman;serif"/>
          <w:b/>
          <w:i/>
          <w:color w:val="231F20"/>
          <w:sz w:val="20"/>
        </w:rPr>
        <w:t>Expenses</w:t>
      </w:r>
    </w:p>
    <w:p>
      <w:pPr>
        <w:pStyle w:val="TextBody"/>
        <w:bidi w:val="0"/>
        <w:spacing w:lineRule="auto" w:line="288" w:before="200" w:after="283"/>
        <w:jc w:val="left"/>
        <w:rPr/>
      </w:pP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w:t>
      </w:r>
      <w:r>
        <w:rPr>
          <w:color w:val="231F20"/>
        </w:rPr>
        <w:t xml:space="preserve"> </w:t>
      </w:r>
      <w:r>
        <w:rPr>
          <w:rFonts w:ascii="Times New Roman;serif" w:hAnsi="Times New Roman;serif"/>
          <w:b w:val="false"/>
          <w:i/>
          <w:color w:val="231F20"/>
          <w:sz w:val="20"/>
        </w:rPr>
        <w:t>(including</w:t>
      </w:r>
      <w:r>
        <w:rPr>
          <w:color w:val="231F20"/>
        </w:rPr>
        <w:t xml:space="preserve"> </w:t>
      </w: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Development—Related</w:t>
      </w:r>
      <w:r>
        <w:rPr>
          <w:color w:val="231F20"/>
        </w:rPr>
        <w:t xml:space="preserve"> </w:t>
      </w:r>
      <w:r>
        <w:rPr>
          <w:rFonts w:ascii="Times New Roman;serif" w:hAnsi="Times New Roman;serif"/>
          <w:b w:val="false"/>
          <w:i/>
          <w:color w:val="231F20"/>
          <w:sz w:val="20"/>
        </w:rPr>
        <w:t>Party)</w:t>
      </w:r>
    </w:p>
    <w:p>
      <w:pPr>
        <w:pStyle w:val="TextBody"/>
        <w:bidi w:val="0"/>
        <w:spacing w:lineRule="auto" w:line="288" w:before="200" w:after="283"/>
        <w:jc w:val="both"/>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party</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have primarily consisted</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external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internal</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the development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bifunctional</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antibody</w:t>
      </w:r>
      <w:r>
        <w:rPr>
          <w:color w:val="231F20"/>
        </w:rPr>
        <w:t xml:space="preserve"> </w:t>
      </w:r>
      <w:r>
        <w:rPr>
          <w:rFonts w:ascii="Times New Roman;serif" w:hAnsi="Times New Roman;serif"/>
          <w:b w:val="false"/>
          <w:color w:val="231F20"/>
          <w:sz w:val="20"/>
        </w:rPr>
        <w:t>therapies</w:t>
      </w:r>
      <w:r>
        <w:rPr>
          <w:color w:val="231F20"/>
        </w:rPr>
        <w:t xml:space="preserve"> </w:t>
      </w:r>
      <w:r>
        <w:rPr>
          <w:rFonts w:ascii="Times New Roman;serif" w:hAnsi="Times New Roman;serif"/>
          <w:b w:val="false"/>
          <w:color w:val="231F20"/>
          <w:sz w:val="20"/>
        </w:rPr>
        <w:t>to treat</w:t>
      </w:r>
      <w:r>
        <w:rPr>
          <w:color w:val="231F20"/>
        </w:rPr>
        <w:t xml:space="preserve"> </w:t>
      </w:r>
      <w:r>
        <w:rPr>
          <w:rFonts w:ascii="Times New Roman;serif" w:hAnsi="Times New Roman;serif"/>
          <w:b w:val="false"/>
          <w:color w:val="231F20"/>
          <w:sz w:val="20"/>
        </w:rPr>
        <w:t>solid</w:t>
      </w:r>
      <w:r>
        <w:rPr>
          <w:color w:val="231F20"/>
        </w:rPr>
        <w:t xml:space="preserve"> </w:t>
      </w:r>
      <w:r>
        <w:rPr>
          <w:rFonts w:ascii="Times New Roman;serif" w:hAnsi="Times New Roman;serif"/>
          <w:b w:val="false"/>
          <w:color w:val="231F20"/>
          <w:sz w:val="20"/>
        </w:rPr>
        <w:t>tumors,</w:t>
      </w:r>
      <w:r>
        <w:rPr>
          <w:color w:val="231F20"/>
        </w:rPr>
        <w:t xml:space="preserve"> </w:t>
      </w:r>
      <w:r>
        <w:rPr>
          <w:rFonts w:ascii="Times New Roman;serif" w:hAnsi="Times New Roman;serif"/>
          <w:b w:val="false"/>
          <w:color w:val="231F20"/>
          <w:sz w:val="20"/>
        </w:rPr>
        <w:t>and the</w:t>
      </w:r>
      <w:r>
        <w:rPr>
          <w:color w:val="231F20"/>
        </w:rPr>
        <w:t xml:space="preserve"> </w:t>
      </w:r>
      <w:r>
        <w:rPr>
          <w:rFonts w:ascii="Times New Roman;serif" w:hAnsi="Times New Roman;serif"/>
          <w:b w:val="false"/>
          <w:color w:val="231F20"/>
          <w:sz w:val="20"/>
        </w:rPr>
        <w:t>clinical development</w:t>
      </w:r>
      <w:r>
        <w:rPr>
          <w:color w:val="231F20"/>
        </w:rPr>
        <w:t xml:space="preserve"> </w:t>
      </w:r>
      <w:r>
        <w:rPr>
          <w:rFonts w:ascii="Times New Roman;serif" w:hAnsi="Times New Roman;serif"/>
          <w:b w:val="false"/>
          <w:color w:val="231F20"/>
          <w:sz w:val="20"/>
        </w:rPr>
        <w:t>of our 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Our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include:</w:t>
      </w:r>
    </w:p>
    <w:p>
      <w:pPr>
        <w:pStyle w:val="TextBody"/>
        <w:bidi w:val="0"/>
        <w:spacing w:lineRule="auto" w:line="288" w:before="200" w:after="283"/>
        <w:ind w:left="0" w:right="0" w:hanging="360"/>
        <w:jc w:val="both"/>
        <w:rPr/>
      </w:pPr>
      <w:r>
        <w:rPr>
          <w:color w:val="231F20"/>
        </w:rPr>
        <w:t>•</w:t>
      </w:r>
      <w:r>
        <w:rPr>
          <w:rFonts w:ascii="Times New Roman;serif" w:hAnsi="Times New Roman;serif"/>
          <w:b w:val="false"/>
          <w:color w:val="231F20"/>
          <w:sz w:val="20"/>
        </w:rPr>
        <w:t>external</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including expenses</w:t>
      </w:r>
      <w:r>
        <w:rPr>
          <w:color w:val="231F20"/>
        </w:rPr>
        <w:t xml:space="preserve"> </w:t>
      </w:r>
      <w:r>
        <w:rPr>
          <w:rFonts w:ascii="Times New Roman;serif" w:hAnsi="Times New Roman;serif"/>
          <w:b w:val="false"/>
          <w:color w:val="231F20"/>
          <w:sz w:val="20"/>
        </w:rPr>
        <w:t>incurred</w:t>
      </w:r>
      <w:r>
        <w:rPr>
          <w:color w:val="231F20"/>
        </w:rPr>
        <w:t xml:space="preserve"> </w:t>
      </w:r>
      <w:r>
        <w:rPr>
          <w:rFonts w:ascii="Times New Roman;serif" w:hAnsi="Times New Roman;serif"/>
          <w:b w:val="false"/>
          <w:color w:val="231F20"/>
          <w:sz w:val="20"/>
        </w:rPr>
        <w:t>under</w:t>
      </w:r>
      <w:r>
        <w:rPr>
          <w:color w:val="231F20"/>
        </w:rPr>
        <w:t xml:space="preserve"> </w:t>
      </w:r>
      <w:r>
        <w:rPr>
          <w:rFonts w:ascii="Times New Roman;serif" w:hAnsi="Times New Roman;serif"/>
          <w:b w:val="false"/>
          <w:color w:val="231F20"/>
          <w:sz w:val="20"/>
        </w:rPr>
        <w:t>arrangements</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third parties,</w:t>
      </w:r>
      <w:r>
        <w:rPr>
          <w:color w:val="231F20"/>
        </w:rPr>
        <w:t xml:space="preserve"> </w:t>
      </w:r>
      <w:r>
        <w:rPr>
          <w:rFonts w:ascii="Times New Roman;serif" w:hAnsi="Times New Roman;serif"/>
          <w:b w:val="false"/>
          <w:color w:val="231F20"/>
          <w:sz w:val="20"/>
        </w:rPr>
        <w:t>such</w:t>
      </w:r>
      <w:r>
        <w:rPr>
          <w:color w:val="231F20"/>
        </w:rPr>
        <w:t xml:space="preserve"> </w:t>
      </w:r>
      <w:r>
        <w:rPr>
          <w:rFonts w:ascii="Times New Roman;serif" w:hAnsi="Times New Roman;serif"/>
          <w:b w:val="false"/>
          <w:color w:val="231F20"/>
          <w:sz w:val="20"/>
        </w:rPr>
        <w:t>as sponsored</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agreements,</w:t>
      </w:r>
      <w:r>
        <w:rPr>
          <w:color w:val="231F20"/>
        </w:rPr>
        <w:t xml:space="preserve"> </w:t>
      </w:r>
      <w:r>
        <w:rPr>
          <w:rFonts w:ascii="Times New Roman;serif" w:hAnsi="Times New Roman;serif"/>
          <w:b w:val="false"/>
          <w:color w:val="231F20"/>
          <w:sz w:val="20"/>
        </w:rPr>
        <w:t>consultants</w:t>
      </w:r>
      <w:r>
        <w:rPr>
          <w:color w:val="231F20"/>
        </w:rPr>
        <w:t xml:space="preserve"> </w:t>
      </w:r>
      <w:r>
        <w:rPr>
          <w:rFonts w:ascii="Times New Roman;serif" w:hAnsi="Times New Roman;serif"/>
          <w:b w:val="false"/>
          <w:color w:val="231F20"/>
          <w:sz w:val="20"/>
        </w:rPr>
        <w:t>and our scientific</w:t>
      </w:r>
      <w:r>
        <w:rPr>
          <w:color w:val="231F20"/>
        </w:rPr>
        <w:t xml:space="preserve"> </w:t>
      </w:r>
      <w:r>
        <w:rPr>
          <w:rFonts w:ascii="Times New Roman;serif" w:hAnsi="Times New Roman;serif"/>
          <w:b w:val="false"/>
          <w:color w:val="231F20"/>
          <w:sz w:val="20"/>
        </w:rPr>
        <w:t>advisors;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cost</w:t>
      </w:r>
      <w:r>
        <w:rPr>
          <w:color w:val="231F20"/>
        </w:rPr>
        <w:t xml:space="preserve"> </w:t>
      </w:r>
      <w:r>
        <w:rPr>
          <w:rFonts w:ascii="Times New Roman;serif" w:hAnsi="Times New Roman;serif"/>
          <w:b w:val="false"/>
          <w:color w:val="231F20"/>
          <w:sz w:val="20"/>
        </w:rPr>
        <w:t>to obtain</w:t>
      </w:r>
      <w:r>
        <w:rPr>
          <w:color w:val="231F20"/>
        </w:rPr>
        <w:t xml:space="preserve"> </w:t>
      </w:r>
      <w:r>
        <w:rPr>
          <w:rFonts w:ascii="Times New Roman;serif" w:hAnsi="Times New Roman;serif"/>
          <w:b w:val="false"/>
          <w:color w:val="231F20"/>
          <w:sz w:val="20"/>
        </w:rPr>
        <w:t>licenses</w:t>
      </w:r>
      <w:r>
        <w:rPr>
          <w:color w:val="231F20"/>
        </w:rPr>
        <w:t xml:space="preserve"> </w:t>
      </w:r>
      <w:r>
        <w:rPr>
          <w:rFonts w:ascii="Times New Roman;serif" w:hAnsi="Times New Roman;serif"/>
          <w:b w:val="false"/>
          <w:color w:val="231F20"/>
          <w:sz w:val="20"/>
        </w:rPr>
        <w:t>to intellectual</w:t>
      </w:r>
      <w:r>
        <w:rPr>
          <w:color w:val="231F20"/>
        </w:rPr>
        <w:t xml:space="preserve"> </w:t>
      </w:r>
      <w:r>
        <w:rPr>
          <w:rFonts w:ascii="Times New Roman;serif" w:hAnsi="Times New Roman;serif"/>
          <w:b w:val="false"/>
          <w:color w:val="231F20"/>
          <w:sz w:val="20"/>
        </w:rPr>
        <w:t>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personnel-related</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salaries,</w:t>
      </w:r>
      <w:r>
        <w:rPr>
          <w:color w:val="231F20"/>
        </w:rPr>
        <w:t xml:space="preserve"> </w:t>
      </w:r>
      <w:r>
        <w:rPr>
          <w:rFonts w:ascii="Times New Roman;serif" w:hAnsi="Times New Roman;serif"/>
          <w:b w:val="false"/>
          <w:color w:val="231F20"/>
          <w:sz w:val="20"/>
        </w:rPr>
        <w:t>bonuses,</w:t>
      </w:r>
      <w:r>
        <w:rPr>
          <w:color w:val="231F20"/>
        </w:rPr>
        <w:t xml:space="preserve"> </w:t>
      </w:r>
      <w:r>
        <w:rPr>
          <w:rFonts w:ascii="Times New Roman;serif" w:hAnsi="Times New Roman;serif"/>
          <w:b w:val="false"/>
          <w:color w:val="231F20"/>
          <w:sz w:val="20"/>
        </w:rPr>
        <w:t>benefits,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for employees</w:t>
      </w:r>
      <w:r>
        <w:rPr>
          <w:color w:val="231F20"/>
        </w:rPr>
        <w:t xml:space="preserve"> </w:t>
      </w:r>
      <w:r>
        <w:rPr>
          <w:rFonts w:ascii="Times New Roman;serif" w:hAnsi="Times New Roman;serif"/>
          <w:b w:val="false"/>
          <w:color w:val="231F20"/>
          <w:sz w:val="20"/>
        </w:rPr>
        <w:t>engaged</w:t>
      </w:r>
      <w:r>
        <w:rPr>
          <w:color w:val="231F20"/>
        </w:rPr>
        <w:t xml:space="preserve"> </w:t>
      </w:r>
      <w:r>
        <w:rPr>
          <w:rFonts w:ascii="Times New Roman;serif" w:hAnsi="Times New Roman;serif"/>
          <w:b w:val="false"/>
          <w:color w:val="231F20"/>
          <w:sz w:val="20"/>
        </w:rPr>
        <w:t>in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functions;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laboratory</w:t>
      </w:r>
      <w:r>
        <w:rPr>
          <w:color w:val="231F20"/>
        </w:rPr>
        <w:t xml:space="preserve"> </w:t>
      </w:r>
      <w:r>
        <w:rPr>
          <w:rFonts w:ascii="Times New Roman;serif" w:hAnsi="Times New Roman;serif"/>
          <w:b w:val="false"/>
          <w:color w:val="231F20"/>
          <w:sz w:val="20"/>
        </w:rPr>
        <w:t>supplies,</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materials</w:t>
      </w:r>
      <w:r>
        <w:rPr>
          <w:color w:val="231F20"/>
        </w:rPr>
        <w:t xml:space="preserve"> </w:t>
      </w:r>
      <w:r>
        <w:rPr>
          <w:rFonts w:ascii="Times New Roman;serif" w:hAnsi="Times New Roman;serif"/>
          <w:b w:val="false"/>
          <w:color w:val="231F20"/>
          <w:sz w:val="20"/>
        </w:rPr>
        <w:t>and reagents;</w:t>
      </w:r>
      <w:r>
        <w:rPr>
          <w:color w:val="231F20"/>
        </w:rPr>
        <w:t xml:space="preserve"> </w:t>
      </w:r>
      <w:r>
        <w:rPr>
          <w:rFonts w:ascii="Times New Roman;serif" w:hAnsi="Times New Roman;serif"/>
          <w:b w:val="false"/>
          <w:color w:val="231F20"/>
          <w:sz w:val="20"/>
        </w:rPr>
        <w:t>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the cost</w:t>
      </w:r>
      <w:r>
        <w:rPr>
          <w:color w:val="231F20"/>
        </w:rPr>
        <w:t xml:space="preserve"> </w:t>
      </w:r>
      <w:r>
        <w:rPr>
          <w:rFonts w:ascii="Times New Roman;serif" w:hAnsi="Times New Roman;serif"/>
          <w:b w:val="false"/>
          <w:color w:val="231F20"/>
          <w:sz w:val="20"/>
        </w:rPr>
        <w:t>of developing</w:t>
      </w:r>
      <w:r>
        <w:rPr>
          <w:color w:val="231F20"/>
        </w:rPr>
        <w:t xml:space="preserve"> </w:t>
      </w:r>
      <w:r>
        <w:rPr>
          <w:rFonts w:ascii="Times New Roman;serif" w:hAnsi="Times New Roman;serif"/>
          <w:b w:val="false"/>
          <w:color w:val="231F20"/>
          <w:sz w:val="20"/>
        </w:rPr>
        <w:t>and validating</w:t>
      </w:r>
      <w:r>
        <w:rPr>
          <w:color w:val="231F20"/>
        </w:rPr>
        <w:t xml:space="preserve"> </w:t>
      </w:r>
      <w:r>
        <w:rPr>
          <w:rFonts w:ascii="Times New Roman;serif" w:hAnsi="Times New Roman;serif"/>
          <w:b w:val="false"/>
          <w:color w:val="231F20"/>
          <w:sz w:val="20"/>
        </w:rPr>
        <w:t>our manufacturing</w:t>
      </w:r>
      <w:r>
        <w:rPr>
          <w:color w:val="231F20"/>
        </w:rPr>
        <w:t xml:space="preserve"> </w:t>
      </w:r>
      <w:r>
        <w:rPr>
          <w:rFonts w:ascii="Times New Roman;serif" w:hAnsi="Times New Roman;serif"/>
          <w:b w:val="false"/>
          <w:color w:val="231F20"/>
          <w:sz w:val="20"/>
        </w:rPr>
        <w:t>process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use in our future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p>
    <w:p>
      <w:pPr>
        <w:pStyle w:val="TextBody"/>
        <w:bidi w:val="0"/>
        <w:spacing w:lineRule="auto" w:line="288" w:before="200" w:after="283"/>
        <w:jc w:val="both"/>
        <w:rPr/>
      </w:pP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have been related</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 ficerafusp</w:t>
      </w:r>
      <w:r>
        <w:rPr>
          <w:color w:val="231F20"/>
        </w:rPr>
        <w:t xml:space="preserve"> </w:t>
      </w:r>
      <w:r>
        <w:rPr>
          <w:rFonts w:ascii="Times New Roman;serif" w:hAnsi="Times New Roman;serif"/>
          <w:b w:val="false"/>
          <w:color w:val="231F20"/>
          <w:sz w:val="20"/>
        </w:rPr>
        <w:t>alfa. We</w:t>
      </w:r>
      <w:r>
        <w:rPr>
          <w:color w:val="231F20"/>
        </w:rPr>
        <w:t xml:space="preserve"> </w:t>
      </w:r>
      <w:r>
        <w:rPr>
          <w:rFonts w:ascii="Times New Roman;serif" w:hAnsi="Times New Roman;serif"/>
          <w:b w:val="false"/>
          <w:color w:val="231F20"/>
          <w:sz w:val="20"/>
        </w:rPr>
        <w:t>use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personnel</w:t>
      </w:r>
      <w:r>
        <w:rPr>
          <w:color w:val="231F20"/>
        </w:rPr>
        <w:t xml:space="preserve"> </w:t>
      </w:r>
      <w:r>
        <w:rPr>
          <w:rFonts w:ascii="Times New Roman;serif" w:hAnsi="Times New Roman;serif"/>
          <w:b w:val="false"/>
          <w:color w:val="231F20"/>
          <w:sz w:val="20"/>
        </w:rPr>
        <w:t>and infrastructure resources</w:t>
      </w:r>
      <w:r>
        <w:rPr>
          <w:color w:val="231F20"/>
        </w:rPr>
        <w:t xml:space="preserve"> </w:t>
      </w:r>
      <w:r>
        <w:rPr>
          <w:rFonts w:ascii="Times New Roman;serif" w:hAnsi="Times New Roman;serif"/>
          <w:b w:val="false"/>
          <w:color w:val="231F20"/>
          <w:sz w:val="20"/>
        </w:rPr>
        <w:t>across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breadth</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directed</w:t>
      </w:r>
      <w:r>
        <w:rPr>
          <w:color w:val="231F20"/>
        </w:rPr>
        <w:t xml:space="preserve"> </w:t>
      </w:r>
      <w:r>
        <w:rPr>
          <w:rFonts w:ascii="Times New Roman;serif" w:hAnsi="Times New Roman;serif"/>
          <w:b w:val="false"/>
          <w:color w:val="231F20"/>
          <w:sz w:val="20"/>
        </w:rPr>
        <w:t>toward</w:t>
      </w:r>
      <w:r>
        <w:rPr>
          <w:color w:val="231F20"/>
        </w:rPr>
        <w:t xml:space="preserve"> </w:t>
      </w:r>
      <w:r>
        <w:rPr>
          <w:rFonts w:ascii="Times New Roman;serif" w:hAnsi="Times New Roman;serif"/>
          <w:b w:val="false"/>
          <w:color w:val="231F20"/>
          <w:sz w:val="20"/>
        </w:rPr>
        <w:t>identifying and developing</w:t>
      </w:r>
      <w:r>
        <w:rPr>
          <w:color w:val="231F20"/>
        </w:rPr>
        <w:t xml:space="preserve"> </w:t>
      </w:r>
      <w:r>
        <w:rPr>
          <w:rFonts w:ascii="Times New Roman;serif" w:hAnsi="Times New Roman;serif"/>
          <w:b w:val="false"/>
          <w:color w:val="231F20"/>
          <w:sz w:val="20"/>
        </w:rPr>
        <w:t>our product</w:t>
      </w:r>
      <w:r>
        <w:rPr>
          <w:color w:val="231F20"/>
        </w:rPr>
        <w:t xml:space="preserve"> </w:t>
      </w:r>
      <w:r>
        <w:rPr>
          <w:rFonts w:ascii="Times New Roman;serif" w:hAnsi="Times New Roman;serif"/>
          <w:b w:val="false"/>
          <w:color w:val="231F20"/>
          <w:sz w:val="20"/>
        </w:rPr>
        <w:t>candidate.</w:t>
      </w:r>
    </w:p>
    <w:p>
      <w:pPr>
        <w:pStyle w:val="TextBody"/>
        <w:bidi w:val="0"/>
        <w:spacing w:lineRule="auto" w:line="288" w:before="200" w:after="283"/>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231F20"/>
          <w:sz w:val="20"/>
        </w:rPr>
        <w:t>all</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periods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they</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incurred.</w:t>
      </w:r>
      <w:r>
        <w:rPr>
          <w:color w:val="231F20"/>
        </w:rPr>
        <w:t xml:space="preserve"> </w:t>
      </w:r>
      <w:r>
        <w:rPr>
          <w:rFonts w:ascii="Times New Roman;serif" w:hAnsi="Times New Roman;serif"/>
          <w:b w:val="false"/>
          <w:color w:val="231F20"/>
          <w:sz w:val="20"/>
        </w:rPr>
        <w:t>Costs for</w:t>
      </w:r>
      <w:r>
        <w:rPr>
          <w:color w:val="231F20"/>
        </w:rPr>
        <w:t xml:space="preserve"> </w:t>
      </w:r>
      <w:r>
        <w:rPr>
          <w:rFonts w:ascii="Times New Roman;serif" w:hAnsi="Times New Roman;serif"/>
          <w:b w:val="false"/>
          <w:color w:val="231F20"/>
          <w:sz w:val="20"/>
        </w:rPr>
        <w:t>certain 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recognized</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an evaluation</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progress</w:t>
      </w:r>
      <w:r>
        <w:rPr>
          <w:color w:val="231F20"/>
        </w:rPr>
        <w:t xml:space="preserve"> </w:t>
      </w:r>
      <w:r>
        <w:rPr>
          <w:rFonts w:ascii="Times New Roman;serif" w:hAnsi="Times New Roman;serif"/>
          <w:b w:val="false"/>
          <w:color w:val="231F20"/>
          <w:sz w:val="20"/>
        </w:rPr>
        <w:t>to completion</w:t>
      </w:r>
      <w:r>
        <w:rPr>
          <w:color w:val="231F20"/>
        </w:rPr>
        <w:t xml:space="preserve"> </w:t>
      </w:r>
      <w:r>
        <w:rPr>
          <w:rFonts w:ascii="Times New Roman;serif" w:hAnsi="Times New Roman;serif"/>
          <w:b w:val="false"/>
          <w:color w:val="231F20"/>
          <w:sz w:val="20"/>
        </w:rPr>
        <w:t>of specific</w:t>
      </w:r>
      <w:r>
        <w:rPr>
          <w:color w:val="231F20"/>
        </w:rPr>
        <w:t xml:space="preserve"> </w:t>
      </w:r>
      <w:r>
        <w:rPr>
          <w:rFonts w:ascii="Times New Roman;serif" w:hAnsi="Times New Roman;serif"/>
          <w:b w:val="false"/>
          <w:color w:val="231F20"/>
          <w:sz w:val="20"/>
        </w:rPr>
        <w:t>tasks</w:t>
      </w:r>
      <w:r>
        <w:rPr>
          <w:color w:val="231F20"/>
        </w:rPr>
        <w:t xml:space="preserve"> </w:t>
      </w:r>
      <w:r>
        <w:rPr>
          <w:rFonts w:ascii="Times New Roman;serif" w:hAnsi="Times New Roman;serif"/>
          <w:b w:val="false"/>
          <w:color w:val="231F20"/>
          <w:sz w:val="20"/>
        </w:rPr>
        <w:t>using</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data</w:t>
      </w:r>
      <w:r>
        <w:rPr>
          <w:color w:val="231F20"/>
        </w:rPr>
        <w:t xml:space="preserve"> </w:t>
      </w:r>
      <w:r>
        <w:rPr>
          <w:rFonts w:ascii="Times New Roman;serif" w:hAnsi="Times New Roman;serif"/>
          <w:b w:val="false"/>
          <w:color w:val="231F20"/>
          <w:sz w:val="20"/>
        </w:rPr>
        <w:t>provided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us</w:t>
      </w:r>
      <w:r>
        <w:rPr>
          <w:color w:val="231F20"/>
        </w:rPr>
        <w:t xml:space="preserve"> </w:t>
      </w:r>
      <w:r>
        <w:rPr>
          <w:rFonts w:ascii="Times New Roman;serif" w:hAnsi="Times New Roman;serif"/>
          <w:b w:val="false"/>
          <w:color w:val="231F20"/>
          <w:sz w:val="20"/>
        </w:rPr>
        <w:t>by</w:t>
      </w:r>
      <w:r>
        <w:rPr>
          <w:color w:val="231F20"/>
        </w:rPr>
        <w:t xml:space="preserve"> </w:t>
      </w:r>
      <w:r>
        <w:rPr>
          <w:rFonts w:ascii="Times New Roman;serif" w:hAnsi="Times New Roman;serif"/>
          <w:b w:val="false"/>
          <w:color w:val="231F20"/>
          <w:sz w:val="20"/>
        </w:rPr>
        <w:t>our vendors,</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parties</w:t>
      </w:r>
      <w:r>
        <w:rPr>
          <w:color w:val="231F20"/>
        </w:rPr>
        <w:t xml:space="preserve"> </w:t>
      </w:r>
      <w:r>
        <w:rPr>
          <w:rFonts w:ascii="Times New Roman;serif" w:hAnsi="Times New Roman;serif"/>
          <w:b w:val="false"/>
          <w:color w:val="231F20"/>
          <w:sz w:val="20"/>
        </w:rPr>
        <w:t>and third-party</w:t>
      </w:r>
      <w:r>
        <w:rPr>
          <w:color w:val="231F20"/>
        </w:rPr>
        <w:t xml:space="preserve"> </w:t>
      </w:r>
      <w:r>
        <w:rPr>
          <w:rFonts w:ascii="Times New Roman;serif" w:hAnsi="Times New Roman;serif"/>
          <w:b w:val="false"/>
          <w:color w:val="231F20"/>
          <w:sz w:val="20"/>
        </w:rPr>
        <w:t>service providers.</w:t>
      </w:r>
    </w:p>
    <w:p>
      <w:pPr>
        <w:pStyle w:val="TextBody"/>
        <w:bidi w:val="0"/>
        <w:spacing w:lineRule="auto" w:line="288" w:before="200" w:after="283"/>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plan</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substantially</w:t>
      </w:r>
      <w:r>
        <w:rPr>
          <w:color w:val="231F20"/>
        </w:rPr>
        <w:t xml:space="preserve"> </w:t>
      </w:r>
      <w:r>
        <w:rPr>
          <w:rFonts w:ascii="Times New Roman;serif" w:hAnsi="Times New Roman;serif"/>
          <w:b w:val="false"/>
          <w:color w:val="231F20"/>
          <w:sz w:val="20"/>
        </w:rPr>
        <w:t>increase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foreseeable</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as we continue</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determine</w:t>
      </w:r>
      <w:r>
        <w:rPr>
          <w:color w:val="231F20"/>
        </w:rPr>
        <w:t xml:space="preserve"> </w:t>
      </w:r>
      <w:r>
        <w:rPr>
          <w:rFonts w:ascii="Times New Roman;serif" w:hAnsi="Times New Roman;serif"/>
          <w:b w:val="false"/>
          <w:color w:val="231F20"/>
          <w:sz w:val="20"/>
        </w:rPr>
        <w:t>to pursue. Due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inherently</w:t>
      </w:r>
      <w:r>
        <w:rPr>
          <w:color w:val="231F20"/>
        </w:rPr>
        <w:t xml:space="preserve"> </w:t>
      </w:r>
      <w:r>
        <w:rPr>
          <w:rFonts w:ascii="Times New Roman;serif" w:hAnsi="Times New Roman;serif"/>
          <w:b w:val="false"/>
          <w:color w:val="231F20"/>
          <w:sz w:val="20"/>
        </w:rPr>
        <w:t>unpredictable</w:t>
      </w:r>
      <w:r>
        <w:rPr>
          <w:color w:val="231F20"/>
        </w:rPr>
        <w:t xml:space="preserve"> </w:t>
      </w:r>
      <w:r>
        <w:rPr>
          <w:rFonts w:ascii="Times New Roman;serif" w:hAnsi="Times New Roman;serif"/>
          <w:b w:val="false"/>
          <w:color w:val="231F20"/>
          <w:sz w:val="20"/>
        </w:rPr>
        <w:t>nature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pre-clinical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cannot</w:t>
      </w:r>
      <w:r>
        <w:rPr>
          <w:color w:val="231F20"/>
        </w:rPr>
        <w:t xml:space="preserve"> </w:t>
      </w:r>
      <w:r>
        <w:rPr>
          <w:rFonts w:ascii="Times New Roman;serif" w:hAnsi="Times New Roman;serif"/>
          <w:b w:val="false"/>
          <w:color w:val="231F20"/>
          <w:sz w:val="20"/>
        </w:rPr>
        <w:t>determine</w:t>
      </w:r>
      <w:r>
        <w:rPr>
          <w:color w:val="231F20"/>
        </w:rPr>
        <w:t xml:space="preserve"> </w:t>
      </w:r>
      <w:r>
        <w:rPr>
          <w:rFonts w:ascii="Times New Roman;serif" w:hAnsi="Times New Roman;serif"/>
          <w:b w:val="false"/>
          <w:color w:val="231F20"/>
          <w:sz w:val="20"/>
        </w:rPr>
        <w:t>with certainty</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timing</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initiation,</w:t>
      </w:r>
      <w:r>
        <w:rPr>
          <w:color w:val="231F20"/>
        </w:rPr>
        <w:t xml:space="preserve"> </w:t>
      </w:r>
      <w:r>
        <w:rPr>
          <w:rFonts w:ascii="Times New Roman;serif" w:hAnsi="Times New Roman;serif"/>
          <w:b w:val="false"/>
          <w:color w:val="231F20"/>
          <w:sz w:val="20"/>
        </w:rPr>
        <w:t>duration</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and pre-clinical</w:t>
      </w:r>
      <w:r>
        <w:rPr>
          <w:color w:val="231F20"/>
        </w:rPr>
        <w:t xml:space="preserve"> </w:t>
      </w:r>
      <w:r>
        <w:rPr>
          <w:rFonts w:ascii="Times New Roman;serif" w:hAnsi="Times New Roman;serif"/>
          <w:b w:val="false"/>
          <w:color w:val="231F20"/>
          <w:sz w:val="20"/>
        </w:rPr>
        <w:t>studies</w:t>
      </w:r>
      <w:r>
        <w:rPr>
          <w:color w:val="231F20"/>
        </w:rPr>
        <w:t xml:space="preserve"> </w:t>
      </w:r>
      <w:r>
        <w:rPr>
          <w:rFonts w:ascii="Times New Roman;serif" w:hAnsi="Times New Roman;serif"/>
          <w:b w:val="false"/>
          <w:color w:val="231F20"/>
          <w:sz w:val="20"/>
        </w:rPr>
        <w:t>of product candidates.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timelines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uncertain</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can vary</w:t>
      </w:r>
      <w:r>
        <w:rPr>
          <w:color w:val="231F20"/>
        </w:rPr>
        <w:t xml:space="preserve"> </w:t>
      </w:r>
      <w:r>
        <w:rPr>
          <w:rFonts w:ascii="Times New Roman;serif" w:hAnsi="Times New Roman;serif"/>
          <w:b w:val="false"/>
          <w:color w:val="231F20"/>
          <w:sz w:val="20"/>
        </w:rPr>
        <w:t>significantly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we pursue,</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programs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inherently</w:t>
      </w:r>
      <w:r>
        <w:rPr>
          <w:color w:val="231F20"/>
        </w:rPr>
        <w:t xml:space="preserve"> </w:t>
      </w:r>
      <w:r>
        <w:rPr>
          <w:rFonts w:ascii="Times New Roman;serif" w:hAnsi="Times New Roman;serif"/>
          <w:b w:val="false"/>
          <w:color w:val="231F20"/>
          <w:sz w:val="20"/>
        </w:rPr>
        <w:t>unpredictable due to the nature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anticipate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make</w:t>
      </w:r>
      <w:r>
        <w:rPr>
          <w:color w:val="231F20"/>
        </w:rPr>
        <w:t xml:space="preserve"> </w:t>
      </w:r>
      <w:r>
        <w:rPr>
          <w:rFonts w:ascii="Times New Roman;serif" w:hAnsi="Times New Roman;serif"/>
          <w:b w:val="false"/>
          <w:color w:val="231F20"/>
          <w:sz w:val="20"/>
        </w:rPr>
        <w:t>determinations</w:t>
      </w:r>
      <w:r>
        <w:rPr>
          <w:color w:val="231F20"/>
        </w:rPr>
        <w:t xml:space="preserve"> </w:t>
      </w:r>
      <w:r>
        <w:rPr>
          <w:rFonts w:ascii="Times New Roman;serif" w:hAnsi="Times New Roman;serif"/>
          <w:b w:val="false"/>
          <w:color w:val="231F20"/>
          <w:sz w:val="20"/>
        </w:rPr>
        <w:t>as to which programs</w:t>
      </w:r>
      <w:r>
        <w:rPr>
          <w:color w:val="231F20"/>
        </w:rPr>
        <w:t xml:space="preserve"> </w:t>
      </w:r>
      <w:r>
        <w:rPr>
          <w:rFonts w:ascii="Times New Roman;serif" w:hAnsi="Times New Roman;serif"/>
          <w:b w:val="false"/>
          <w:color w:val="231F20"/>
          <w:sz w:val="20"/>
        </w:rPr>
        <w:t>to pursue</w:t>
      </w:r>
      <w:r>
        <w:rPr>
          <w:color w:val="231F20"/>
        </w:rPr>
        <w:t xml:space="preserve"> </w:t>
      </w:r>
      <w:r>
        <w:rPr>
          <w:rFonts w:ascii="Times New Roman;serif" w:hAnsi="Times New Roman;serif"/>
          <w:b w:val="false"/>
          <w:color w:val="231F20"/>
          <w:sz w:val="20"/>
        </w:rPr>
        <w:t>and how</w:t>
      </w:r>
      <w:r>
        <w:rPr>
          <w:color w:val="231F20"/>
        </w:rPr>
        <w:t xml:space="preserve"> </w:t>
      </w:r>
      <w:r>
        <w:rPr>
          <w:rFonts w:ascii="Times New Roman;serif" w:hAnsi="Times New Roman;serif"/>
          <w:b w:val="false"/>
          <w:color w:val="231F20"/>
          <w:sz w:val="20"/>
        </w:rPr>
        <w:t>much</w:t>
      </w:r>
      <w:r>
        <w:rPr>
          <w:color w:val="231F20"/>
        </w:rPr>
        <w:t xml:space="preserve"> </w:t>
      </w:r>
      <w:r>
        <w:rPr>
          <w:rFonts w:ascii="Times New Roman;serif" w:hAnsi="Times New Roman;serif"/>
          <w:b w:val="false"/>
          <w:color w:val="231F20"/>
          <w:sz w:val="20"/>
        </w:rPr>
        <w:t>funding</w:t>
      </w:r>
      <w:r>
        <w:rPr>
          <w:color w:val="231F20"/>
        </w:rPr>
        <w:t xml:space="preserve"> </w:t>
      </w:r>
      <w:r>
        <w:rPr>
          <w:rFonts w:ascii="Times New Roman;serif" w:hAnsi="Times New Roman;serif"/>
          <w:b w:val="false"/>
          <w:color w:val="231F20"/>
          <w:sz w:val="20"/>
        </w:rPr>
        <w:t>to direct</w:t>
      </w:r>
      <w:r>
        <w:rPr>
          <w:color w:val="231F20"/>
        </w:rPr>
        <w:t xml:space="preserve"> </w:t>
      </w:r>
      <w:r>
        <w:rPr>
          <w:rFonts w:ascii="Times New Roman;serif" w:hAnsi="Times New Roman;serif"/>
          <w:b w:val="false"/>
          <w:color w:val="231F20"/>
          <w:sz w:val="20"/>
        </w:rPr>
        <w:t>to each</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program on an ongoing basis</w:t>
      </w:r>
      <w:r>
        <w:rPr>
          <w:color w:val="231F20"/>
        </w:rPr>
        <w:t xml:space="preserve"> </w:t>
      </w:r>
      <w:r>
        <w:rPr>
          <w:rFonts w:ascii="Times New Roman;serif" w:hAnsi="Times New Roman;serif"/>
          <w:b w:val="false"/>
          <w:color w:val="231F20"/>
          <w:sz w:val="20"/>
        </w:rPr>
        <w:t>in response</w:t>
      </w:r>
      <w:r>
        <w:rPr>
          <w:color w:val="231F20"/>
        </w:rPr>
        <w:t xml:space="preserve"> </w:t>
      </w:r>
      <w:r>
        <w:rPr>
          <w:rFonts w:ascii="Times New Roman;serif" w:hAnsi="Times New Roman;serif"/>
          <w:b w:val="false"/>
          <w:color w:val="231F20"/>
          <w:sz w:val="20"/>
        </w:rPr>
        <w:t>to clinical</w:t>
      </w:r>
      <w:r>
        <w:rPr>
          <w:color w:val="231F20"/>
        </w:rPr>
        <w:t xml:space="preserve"> </w:t>
      </w:r>
      <w:r>
        <w:rPr>
          <w:rFonts w:ascii="Times New Roman;serif" w:hAnsi="Times New Roman;serif"/>
          <w:b w:val="false"/>
          <w:color w:val="231F20"/>
          <w:sz w:val="20"/>
        </w:rPr>
        <w:t>results, regulatory</w:t>
      </w:r>
      <w:r>
        <w:rPr>
          <w:color w:val="231F20"/>
        </w:rPr>
        <w:t xml:space="preserve"> </w:t>
      </w:r>
      <w:r>
        <w:rPr>
          <w:rFonts w:ascii="Times New Roman;serif" w:hAnsi="Times New Roman;serif"/>
          <w:b w:val="false"/>
          <w:color w:val="231F20"/>
          <w:sz w:val="20"/>
        </w:rPr>
        <w:t>developments,</w:t>
      </w:r>
      <w:r>
        <w:rPr>
          <w:color w:val="231F20"/>
        </w:rPr>
        <w:t xml:space="preserve"> </w:t>
      </w:r>
      <w:r>
        <w:rPr>
          <w:rFonts w:ascii="Times New Roman;serif" w:hAnsi="Times New Roman;serif"/>
          <w:b w:val="false"/>
          <w:color w:val="231F20"/>
          <w:sz w:val="20"/>
        </w:rPr>
        <w:t>and ongoing assessments</w:t>
      </w:r>
      <w:r>
        <w:rPr>
          <w:color w:val="231F20"/>
        </w:rPr>
        <w:t xml:space="preserve"> </w:t>
      </w:r>
      <w:r>
        <w:rPr>
          <w:rFonts w:ascii="Times New Roman;serif" w:hAnsi="Times New Roman;serif"/>
          <w:b w:val="false"/>
          <w:color w:val="231F20"/>
          <w:sz w:val="20"/>
        </w:rPr>
        <w:t>as to each</w:t>
      </w:r>
      <w:r>
        <w:rPr>
          <w:color w:val="231F20"/>
        </w:rPr>
        <w:t xml:space="preserve"> </w:t>
      </w:r>
      <w:r>
        <w:rPr>
          <w:rFonts w:ascii="Times New Roman;serif" w:hAnsi="Times New Roman;serif"/>
          <w:b w:val="false"/>
          <w:color w:val="231F20"/>
          <w:sz w:val="20"/>
        </w:rPr>
        <w:t>program’s</w:t>
      </w:r>
      <w:r>
        <w:rPr>
          <w:color w:val="231F20"/>
        </w:rPr>
        <w:t xml:space="preserve"> </w:t>
      </w:r>
      <w:r>
        <w:rPr>
          <w:rFonts w:ascii="Times New Roman;serif" w:hAnsi="Times New Roman;serif"/>
          <w:b w:val="false"/>
          <w:color w:val="231F20"/>
          <w:sz w:val="20"/>
        </w:rPr>
        <w:t>commercial</w:t>
      </w:r>
      <w:r>
        <w:rPr>
          <w:color w:val="231F20"/>
        </w:rPr>
        <w:t xml:space="preserve"> </w:t>
      </w:r>
      <w:r>
        <w:rPr>
          <w:rFonts w:ascii="Times New Roman;serif" w:hAnsi="Times New Roman;serif"/>
          <w:b w:val="false"/>
          <w:color w:val="231F20"/>
          <w:sz w:val="20"/>
        </w:rPr>
        <w:t>potential.</w:t>
      </w:r>
    </w:p>
    <w:p>
      <w:pPr>
        <w:pStyle w:val="TextBody"/>
        <w:bidi w:val="0"/>
        <w:spacing w:lineRule="auto" w:line="288" w:before="200" w:after="283"/>
        <w:jc w:val="both"/>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central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business</w:t>
      </w:r>
      <w:r>
        <w:rPr>
          <w:color w:val="231F20"/>
        </w:rPr>
        <w:t xml:space="preserve"> </w:t>
      </w:r>
      <w:r>
        <w:rPr>
          <w:rFonts w:ascii="Times New Roman;serif" w:hAnsi="Times New Roman;serif"/>
          <w:b w:val="false"/>
          <w:color w:val="231F20"/>
          <w:sz w:val="20"/>
        </w:rPr>
        <w:t>model.</w:t>
      </w:r>
      <w:r>
        <w:rPr>
          <w:color w:val="231F20"/>
        </w:rPr>
        <w:t xml:space="preserve"> </w:t>
      </w:r>
      <w:r>
        <w:rPr>
          <w:rFonts w:ascii="Times New Roman;serif" w:hAnsi="Times New Roman;serif"/>
          <w:b w:val="false"/>
          <w:color w:val="231F20"/>
          <w:sz w:val="20"/>
        </w:rPr>
        <w:t>Therapeutic</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later stages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generally</w:t>
      </w:r>
      <w:r>
        <w:rPr>
          <w:color w:val="231F20"/>
        </w:rPr>
        <w:t xml:space="preserve"> </w:t>
      </w:r>
      <w:r>
        <w:rPr>
          <w:rFonts w:ascii="Times New Roman;serif" w:hAnsi="Times New Roman;serif"/>
          <w:b w:val="false"/>
          <w:color w:val="231F20"/>
          <w:sz w:val="20"/>
        </w:rPr>
        <w:t>have higher</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than</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in earlier</w:t>
      </w:r>
      <w:r>
        <w:rPr>
          <w:color w:val="231F20"/>
        </w:rPr>
        <w:t xml:space="preserve"> </w:t>
      </w:r>
      <w:r>
        <w:rPr>
          <w:rFonts w:ascii="Times New Roman;serif" w:hAnsi="Times New Roman;serif"/>
          <w:b w:val="false"/>
          <w:color w:val="231F20"/>
          <w:sz w:val="20"/>
        </w:rPr>
        <w:t>stages,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due 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increased</w:t>
      </w:r>
      <w:r>
        <w:rPr>
          <w:color w:val="231F20"/>
        </w:rPr>
        <w:t xml:space="preserve"> </w:t>
      </w:r>
      <w:r>
        <w:rPr>
          <w:rFonts w:ascii="Times New Roman;serif" w:hAnsi="Times New Roman;serif"/>
          <w:b w:val="false"/>
          <w:color w:val="231F20"/>
          <w:sz w:val="20"/>
        </w:rPr>
        <w:t>size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duration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later-stage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a result,</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our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increase</w:t>
      </w:r>
      <w:r>
        <w:rPr>
          <w:color w:val="231F20"/>
        </w:rPr>
        <w:t xml:space="preserve"> </w:t>
      </w:r>
      <w:r>
        <w:rPr>
          <w:rFonts w:ascii="Times New Roman;serif" w:hAnsi="Times New Roman;serif"/>
          <w:b w:val="false"/>
          <w:color w:val="231F20"/>
          <w:sz w:val="20"/>
        </w:rPr>
        <w:t>substantially</w:t>
      </w:r>
      <w:r>
        <w:rPr>
          <w:color w:val="231F20"/>
        </w:rPr>
        <w:t xml:space="preserve"> </w:t>
      </w:r>
      <w:r>
        <w:rPr>
          <w:rFonts w:ascii="Times New Roman;serif" w:hAnsi="Times New Roman;serif"/>
          <w:b w:val="false"/>
          <w:color w:val="231F20"/>
          <w:sz w:val="20"/>
        </w:rPr>
        <w:t>over the</w:t>
      </w:r>
      <w:r>
        <w:rPr>
          <w:color w:val="231F20"/>
        </w:rPr>
        <w:t xml:space="preserve"> </w:t>
      </w:r>
      <w:r>
        <w:rPr>
          <w:rFonts w:ascii="Times New Roman;serif" w:hAnsi="Times New Roman;serif"/>
          <w:b w:val="false"/>
          <w:color w:val="231F20"/>
          <w:sz w:val="20"/>
        </w:rPr>
        <w:t>next</w:t>
      </w:r>
      <w:r>
        <w:rPr>
          <w:color w:val="231F20"/>
        </w:rPr>
        <w:t xml:space="preserve"> </w:t>
      </w:r>
      <w:r>
        <w:rPr>
          <w:rFonts w:ascii="Times New Roman;serif" w:hAnsi="Times New Roman;serif"/>
          <w:b w:val="false"/>
          <w:color w:val="231F20"/>
          <w:sz w:val="20"/>
        </w:rPr>
        <w:t>several</w:t>
      </w:r>
      <w:r>
        <w:rPr>
          <w:color w:val="231F20"/>
        </w:rPr>
        <w:t xml:space="preserve"> </w:t>
      </w:r>
      <w:r>
        <w:rPr>
          <w:rFonts w:ascii="Times New Roman;serif" w:hAnsi="Times New Roman;serif"/>
          <w:b w:val="false"/>
          <w:color w:val="231F20"/>
          <w:sz w:val="20"/>
        </w:rPr>
        <w:t>years</w:t>
      </w:r>
      <w:r>
        <w:rPr>
          <w:color w:val="231F20"/>
        </w:rPr>
        <w:t xml:space="preserve"> </w:t>
      </w:r>
      <w:r>
        <w:rPr>
          <w:rFonts w:ascii="Times New Roman;serif" w:hAnsi="Times New Roman;serif"/>
          <w:b w:val="false"/>
          <w:color w:val="231F20"/>
          <w:sz w:val="20"/>
        </w:rPr>
        <w:t>as we expect</w:t>
      </w:r>
      <w:r>
        <w:rPr>
          <w:color w:val="231F20"/>
        </w:rPr>
        <w:t xml:space="preserve"> </w:t>
      </w:r>
      <w:r>
        <w:rPr>
          <w:rFonts w:ascii="Times New Roman;serif" w:hAnsi="Times New Roman;serif"/>
          <w:b w:val="false"/>
          <w:color w:val="231F20"/>
          <w:sz w:val="20"/>
        </w:rPr>
        <w:t>to (i)</w:t>
      </w:r>
      <w:r>
        <w:rPr>
          <w:color w:val="231F20"/>
        </w:rPr>
        <w:t xml:space="preserve"> </w:t>
      </w:r>
      <w:r>
        <w:rPr>
          <w:rFonts w:ascii="Times New Roman;serif" w:hAnsi="Times New Roman;serif"/>
          <w:b w:val="false"/>
          <w:color w:val="231F20"/>
          <w:sz w:val="20"/>
        </w:rPr>
        <w:t>advance 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into</w:t>
      </w:r>
      <w:r>
        <w:rPr>
          <w:color w:val="231F20"/>
        </w:rPr>
        <w:t xml:space="preserve"> </w:t>
      </w:r>
      <w:r>
        <w:rPr>
          <w:rFonts w:ascii="Times New Roman;serif" w:hAnsi="Times New Roman;serif"/>
          <w:b w:val="false"/>
          <w:color w:val="231F20"/>
          <w:sz w:val="20"/>
        </w:rPr>
        <w:t>late-stage</w:t>
      </w:r>
      <w:r>
        <w:rPr>
          <w:color w:val="231F20"/>
        </w:rPr>
        <w:t xml:space="preserve"> </w:t>
      </w:r>
      <w:r>
        <w:rPr>
          <w:rFonts w:ascii="Times New Roman;serif" w:hAnsi="Times New Roman;serif"/>
          <w:b w:val="false"/>
          <w:color w:val="231F20"/>
          <w:sz w:val="20"/>
        </w:rPr>
        <w:t>clinical trials, (ii)</w:t>
      </w:r>
      <w:r>
        <w:rPr>
          <w:color w:val="231F20"/>
        </w:rPr>
        <w:t xml:space="preserve"> </w:t>
      </w:r>
      <w:r>
        <w:rPr>
          <w:rFonts w:ascii="Times New Roman;serif" w:hAnsi="Times New Roman;serif"/>
          <w:b w:val="false"/>
          <w:color w:val="231F20"/>
          <w:sz w:val="20"/>
        </w:rPr>
        <w:t>develop ficerafusp</w:t>
      </w:r>
      <w:r>
        <w:rPr>
          <w:color w:val="231F20"/>
        </w:rPr>
        <w:t xml:space="preserve"> </w:t>
      </w:r>
      <w:r>
        <w:rPr>
          <w:rFonts w:ascii="Times New Roman;serif" w:hAnsi="Times New Roman;serif"/>
          <w:b w:val="false"/>
          <w:color w:val="231F20"/>
          <w:sz w:val="20"/>
        </w:rPr>
        <w:t>alfa for other potential</w:t>
      </w:r>
      <w:r>
        <w:rPr>
          <w:color w:val="231F20"/>
        </w:rPr>
        <w:t xml:space="preserve"> </w:t>
      </w:r>
      <w:r>
        <w:rPr>
          <w:rFonts w:ascii="Times New Roman;serif" w:hAnsi="Times New Roman;serif"/>
          <w:b w:val="false"/>
          <w:color w:val="231F20"/>
          <w:sz w:val="20"/>
        </w:rPr>
        <w:t>indications</w:t>
      </w:r>
      <w:r>
        <w:rPr>
          <w:color w:val="231F20"/>
        </w:rPr>
        <w:t xml:space="preserve"> </w:t>
      </w:r>
      <w:r>
        <w:rPr>
          <w:rFonts w:ascii="Times New Roman;serif" w:hAnsi="Times New Roman;serif"/>
          <w:b w:val="false"/>
          <w:color w:val="231F20"/>
          <w:sz w:val="20"/>
        </w:rPr>
        <w:t>and (iii)</w:t>
      </w:r>
      <w:r>
        <w:rPr>
          <w:color w:val="231F20"/>
        </w:rPr>
        <w:t xml:space="preserve"> </w:t>
      </w:r>
      <w:r>
        <w:rPr>
          <w:rFonts w:ascii="Times New Roman;serif" w:hAnsi="Times New Roman;serif"/>
          <w:b w:val="false"/>
          <w:color w:val="231F20"/>
          <w:sz w:val="20"/>
        </w:rPr>
        <w:t>expand our manufacturing</w:t>
      </w:r>
      <w:r>
        <w:rPr>
          <w:color w:val="231F20"/>
        </w:rPr>
        <w:t xml:space="preserve"> </w:t>
      </w:r>
      <w:r>
        <w:rPr>
          <w:rFonts w:ascii="Times New Roman;serif" w:hAnsi="Times New Roman;serif"/>
          <w:b w:val="false"/>
          <w:color w:val="231F20"/>
          <w:sz w:val="20"/>
        </w:rPr>
        <w:t>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significantly</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various</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such</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timely</w:t>
      </w:r>
      <w:r>
        <w:rPr>
          <w:color w:val="231F20"/>
        </w:rPr>
        <w:t xml:space="preserve"> </w:t>
      </w:r>
      <w:r>
        <w:rPr>
          <w:rFonts w:ascii="Times New Roman;serif" w:hAnsi="Times New Roman;serif"/>
          <w:b w:val="false"/>
          <w:color w:val="231F20"/>
          <w:sz w:val="20"/>
        </w:rPr>
        <w:t>and successful completion</w:t>
      </w:r>
      <w:r>
        <w:rPr>
          <w:color w:val="231F20"/>
        </w:rPr>
        <w:t xml:space="preserve"> </w:t>
      </w:r>
      <w:r>
        <w:rPr>
          <w:rFonts w:ascii="Times New Roman;serif" w:hAnsi="Times New Roman;serif"/>
          <w:b w:val="false"/>
          <w:color w:val="231F20"/>
          <w:sz w:val="20"/>
        </w:rPr>
        <w:t>of 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positive</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our future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receipt</w:t>
      </w:r>
      <w:r>
        <w:rPr>
          <w:color w:val="231F20"/>
        </w:rPr>
        <w:t xml:space="preserve"> </w:t>
      </w:r>
      <w:r>
        <w:rPr>
          <w:rFonts w:ascii="Times New Roman;serif" w:hAnsi="Times New Roman;serif"/>
          <w:b w:val="false"/>
          <w:color w:val="231F20"/>
          <w:sz w:val="20"/>
        </w:rPr>
        <w:t>of marketing</w:t>
      </w:r>
      <w:r>
        <w:rPr>
          <w:color w:val="231F20"/>
        </w:rPr>
        <w:t xml:space="preserve"> </w:t>
      </w:r>
      <w:r>
        <w:rPr>
          <w:rFonts w:ascii="Times New Roman;serif" w:hAnsi="Times New Roman;serif"/>
          <w:b w:val="false"/>
          <w:color w:val="231F20"/>
          <w:sz w:val="20"/>
        </w:rPr>
        <w:t>approvals</w:t>
      </w:r>
      <w:r>
        <w:rPr>
          <w:color w:val="231F20"/>
        </w:rPr>
        <w:t xml:space="preserve"> </w:t>
      </w:r>
      <w:r>
        <w:rPr>
          <w:rFonts w:ascii="Times New Roman;serif" w:hAnsi="Times New Roman;serif"/>
          <w:b w:val="false"/>
          <w:color w:val="231F20"/>
          <w:sz w:val="20"/>
        </w:rPr>
        <w:t>from applicable</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authorities,</w:t>
      </w:r>
      <w:r>
        <w:rPr>
          <w:color w:val="231F20"/>
        </w:rPr>
        <w:t xml:space="preserve"> </w:t>
      </w:r>
      <w:r>
        <w:rPr>
          <w:rFonts w:ascii="Times New Roman;serif" w:hAnsi="Times New Roman;serif"/>
          <w:b w:val="false"/>
          <w:color w:val="231F20"/>
          <w:sz w:val="20"/>
        </w:rPr>
        <w:t>establishment</w:t>
      </w:r>
      <w:r>
        <w:rPr>
          <w:color w:val="231F20"/>
        </w:rPr>
        <w:t xml:space="preserve"> </w:t>
      </w:r>
      <w:r>
        <w:rPr>
          <w:rFonts w:ascii="Times New Roman;serif" w:hAnsi="Times New Roman;serif"/>
          <w:b w:val="false"/>
          <w:color w:val="231F20"/>
          <w:sz w:val="20"/>
        </w:rPr>
        <w:t>of arrangements</w:t>
      </w:r>
      <w:r>
        <w:rPr>
          <w:color w:val="231F20"/>
        </w:rPr>
        <w:t xml:space="preserve"> </w:t>
      </w:r>
      <w:r>
        <w:rPr>
          <w:rFonts w:ascii="Times New Roman;serif" w:hAnsi="Times New Roman;serif"/>
          <w:b w:val="false"/>
          <w:color w:val="231F20"/>
          <w:sz w:val="20"/>
        </w:rPr>
        <w:t>with third</w:t>
      </w:r>
      <w:r>
        <w:rPr>
          <w:color w:val="231F20"/>
        </w:rPr>
        <w:t xml:space="preserve"> </w:t>
      </w:r>
      <w:r>
        <w:rPr>
          <w:rFonts w:ascii="Times New Roman;serif" w:hAnsi="Times New Roman;serif"/>
          <w:b w:val="false"/>
          <w:color w:val="231F20"/>
          <w:sz w:val="20"/>
        </w:rPr>
        <w:t>parties,</w:t>
      </w:r>
      <w:r>
        <w:rPr>
          <w:color w:val="231F20"/>
        </w:rPr>
        <w:t xml:space="preserve"> </w:t>
      </w:r>
      <w:r>
        <w:rPr>
          <w:rFonts w:ascii="Times New Roman;serif" w:hAnsi="Times New Roman;serif"/>
          <w:b w:val="false"/>
          <w:color w:val="231F20"/>
          <w:sz w:val="20"/>
        </w:rPr>
        <w:t>intellectual</w:t>
      </w:r>
      <w:r>
        <w:rPr>
          <w:color w:val="231F20"/>
        </w:rPr>
        <w:t xml:space="preserve"> </w:t>
      </w:r>
      <w:r>
        <w:rPr>
          <w:rFonts w:ascii="Times New Roman;serif" w:hAnsi="Times New Roman;serif"/>
          <w:b w:val="false"/>
          <w:color w:val="231F20"/>
          <w:sz w:val="20"/>
        </w:rPr>
        <w:t>property</w:t>
      </w:r>
      <w:r>
        <w:rPr>
          <w:color w:val="231F20"/>
        </w:rPr>
        <w:t xml:space="preserve"> </w:t>
      </w:r>
      <w:r>
        <w:rPr>
          <w:rFonts w:ascii="Times New Roman;serif" w:hAnsi="Times New Roman;serif"/>
          <w:b w:val="false"/>
          <w:color w:val="231F20"/>
          <w:sz w:val="20"/>
        </w:rPr>
        <w:t>updates, and</w:t>
      </w:r>
      <w:r>
        <w:rPr>
          <w:color w:val="231F20"/>
        </w:rPr>
        <w:t xml:space="preserve"> </w:t>
      </w:r>
      <w:r>
        <w:rPr>
          <w:rFonts w:ascii="Times New Roman;serif" w:hAnsi="Times New Roman;serif"/>
          <w:b w:val="false"/>
          <w:color w:val="231F20"/>
          <w:sz w:val="20"/>
        </w:rPr>
        <w:t>continued</w:t>
      </w:r>
      <w:r>
        <w:rPr>
          <w:color w:val="231F20"/>
        </w:rPr>
        <w:t xml:space="preserve"> </w:t>
      </w:r>
      <w:r>
        <w:rPr>
          <w:rFonts w:ascii="Times New Roman;serif" w:hAnsi="Times New Roman;serif"/>
          <w:b w:val="false"/>
          <w:color w:val="231F20"/>
          <w:sz w:val="20"/>
        </w:rPr>
        <w:t>acceptable</w:t>
      </w:r>
      <w:r>
        <w:rPr>
          <w:color w:val="231F20"/>
        </w:rPr>
        <w:t xml:space="preserve"> </w:t>
      </w:r>
      <w:r>
        <w:rPr>
          <w:rFonts w:ascii="Times New Roman;serif" w:hAnsi="Times New Roman;serif"/>
          <w:b w:val="false"/>
          <w:color w:val="231F20"/>
          <w:sz w:val="20"/>
        </w:rPr>
        <w:t>safety,</w:t>
      </w:r>
      <w:r>
        <w:rPr>
          <w:color w:val="231F20"/>
        </w:rPr>
        <w:t xml:space="preserve"> </w:t>
      </w:r>
      <w:r>
        <w:rPr>
          <w:rFonts w:ascii="Times New Roman;serif" w:hAnsi="Times New Roman;serif"/>
          <w:b w:val="false"/>
          <w:color w:val="231F20"/>
          <w:sz w:val="20"/>
        </w:rPr>
        <w:t>tolerability</w:t>
      </w:r>
      <w:r>
        <w:rPr>
          <w:color w:val="231F20"/>
        </w:rPr>
        <w:t xml:space="preserve"> </w:t>
      </w:r>
      <w:r>
        <w:rPr>
          <w:rFonts w:ascii="Times New Roman;serif" w:hAnsi="Times New Roman;serif"/>
          <w:b w:val="false"/>
          <w:color w:val="231F20"/>
          <w:sz w:val="20"/>
        </w:rPr>
        <w:t>and efficacy</w:t>
      </w:r>
      <w:r>
        <w:rPr>
          <w:color w:val="231F20"/>
        </w:rPr>
        <w:t xml:space="preserve"> </w:t>
      </w:r>
      <w:r>
        <w:rPr>
          <w:rFonts w:ascii="Times New Roman;serif" w:hAnsi="Times New Roman;serif"/>
          <w:b w:val="false"/>
          <w:color w:val="231F20"/>
          <w:sz w:val="20"/>
        </w:rPr>
        <w:t>profile</w:t>
      </w:r>
      <w:r>
        <w:rPr>
          <w:color w:val="231F20"/>
        </w:rPr>
        <w:t xml:space="preserve"> </w:t>
      </w:r>
      <w:r>
        <w:rPr>
          <w:rFonts w:ascii="Times New Roman;serif" w:hAnsi="Times New Roman;serif"/>
          <w:b w:val="false"/>
          <w:color w:val="231F20"/>
          <w:sz w:val="20"/>
        </w:rPr>
        <w:t>of any 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develop following</w:t>
      </w:r>
      <w:r>
        <w:rPr>
          <w:color w:val="231F20"/>
        </w:rPr>
        <w:t xml:space="preserve"> </w:t>
      </w:r>
      <w:r>
        <w:rPr>
          <w:rFonts w:ascii="Times New Roman;serif" w:hAnsi="Times New Roman;serif"/>
          <w:b w:val="false"/>
          <w:color w:val="231F20"/>
          <w:sz w:val="20"/>
        </w:rPr>
        <w:t>approval.</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changes</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outcome</w:t>
      </w:r>
      <w:r>
        <w:rPr>
          <w:color w:val="231F20"/>
        </w:rPr>
        <w:t xml:space="preserve"> </w:t>
      </w:r>
      <w:r>
        <w:rPr>
          <w:rFonts w:ascii="Times New Roman;serif" w:hAnsi="Times New Roman;serif"/>
          <w:b w:val="false"/>
          <w:color w:val="231F20"/>
          <w:sz w:val="20"/>
        </w:rPr>
        <w:t>of any of these</w:t>
      </w:r>
      <w:r>
        <w:rPr>
          <w:color w:val="231F20"/>
        </w:rPr>
        <w:t xml:space="preserve"> </w:t>
      </w:r>
      <w:r>
        <w:rPr>
          <w:rFonts w:ascii="Times New Roman;serif" w:hAnsi="Times New Roman;serif"/>
          <w:b w:val="false"/>
          <w:color w:val="231F20"/>
          <w:sz w:val="20"/>
        </w:rPr>
        <w:t>variables</w:t>
      </w:r>
      <w:r>
        <w:rPr>
          <w:color w:val="231F20"/>
        </w:rPr>
        <w:t xml:space="preserve"> </w:t>
      </w:r>
      <w:r>
        <w:rPr>
          <w:rFonts w:ascii="Times New Roman;serif" w:hAnsi="Times New Roman;serif"/>
          <w:b w:val="false"/>
          <w:color w:val="231F20"/>
          <w:sz w:val="20"/>
        </w:rPr>
        <w:t>with respect</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 our therapeutic</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in preclinical</w:t>
      </w:r>
      <w:r>
        <w:rPr>
          <w:color w:val="231F20"/>
        </w:rPr>
        <w:t xml:space="preserve"> </w:t>
      </w:r>
      <w:r>
        <w:rPr>
          <w:rFonts w:ascii="Times New Roman;serif" w:hAnsi="Times New Roman;serif"/>
          <w:b w:val="false"/>
          <w:color w:val="231F20"/>
          <w:sz w:val="20"/>
        </w:rPr>
        <w:t>and 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mean</w:t>
      </w:r>
      <w:r>
        <w:rPr>
          <w:color w:val="231F20"/>
        </w:rPr>
        <w:t xml:space="preserve"> </w:t>
      </w:r>
      <w:r>
        <w:rPr>
          <w:rFonts w:ascii="Times New Roman;serif" w:hAnsi="Times New Roman;serif"/>
          <w:b w:val="false"/>
          <w:color w:val="231F20"/>
          <w:sz w:val="20"/>
        </w:rPr>
        <w:t>a significant</w:t>
      </w:r>
      <w:r>
        <w:rPr>
          <w:color w:val="231F20"/>
        </w:rPr>
        <w:t xml:space="preserve"> </w:t>
      </w:r>
      <w:r>
        <w:rPr>
          <w:rFonts w:ascii="Times New Roman;serif" w:hAnsi="Times New Roman;serif"/>
          <w:b w:val="false"/>
          <w:color w:val="231F20"/>
          <w:sz w:val="20"/>
        </w:rPr>
        <w:t>change</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and timing</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therapeutic</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example,</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the FDA</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another regulatory</w:t>
      </w:r>
      <w:r>
        <w:rPr>
          <w:color w:val="231F20"/>
        </w:rPr>
        <w:t xml:space="preserve"> </w:t>
      </w:r>
      <w:r>
        <w:rPr>
          <w:rFonts w:ascii="Times New Roman;serif" w:hAnsi="Times New Roman;serif"/>
          <w:b w:val="false"/>
          <w:color w:val="231F20"/>
          <w:sz w:val="20"/>
        </w:rPr>
        <w:t>authority</w:t>
      </w:r>
      <w:r>
        <w:rPr>
          <w:color w:val="231F20"/>
        </w:rPr>
        <w:t xml:space="preserve"> </w:t>
      </w:r>
      <w:r>
        <w:rPr>
          <w:rFonts w:ascii="Times New Roman;serif" w:hAnsi="Times New Roman;serif"/>
          <w:b w:val="false"/>
          <w:color w:val="231F20"/>
          <w:sz w:val="20"/>
        </w:rPr>
        <w:t>were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delay</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planned</w:t>
      </w:r>
      <w:r>
        <w:rPr>
          <w:color w:val="231F20"/>
        </w:rPr>
        <w:t xml:space="preserve"> </w:t>
      </w:r>
      <w:r>
        <w:rPr>
          <w:rFonts w:ascii="Times New Roman;serif" w:hAnsi="Times New Roman;serif"/>
          <w:b w:val="false"/>
          <w:color w:val="231F20"/>
          <w:sz w:val="20"/>
        </w:rPr>
        <w:t>start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require</w:t>
      </w:r>
      <w:r>
        <w:rPr>
          <w:color w:val="231F20"/>
        </w:rPr>
        <w:t xml:space="preserve"> </w:t>
      </w:r>
      <w:r>
        <w:rPr>
          <w:rFonts w:ascii="Times New Roman;serif" w:hAnsi="Times New Roman;serif"/>
          <w:b w:val="false"/>
          <w:color w:val="231F20"/>
          <w:sz w:val="20"/>
        </w:rPr>
        <w:t>us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conduct</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or other</w:t>
      </w:r>
      <w:r>
        <w:rPr>
          <w:color w:val="231F20"/>
        </w:rPr>
        <w:t xml:space="preserve"> </w:t>
      </w:r>
      <w:r>
        <w:rPr>
          <w:rFonts w:ascii="Times New Roman;serif" w:hAnsi="Times New Roman;serif"/>
          <w:b w:val="false"/>
          <w:color w:val="231F20"/>
          <w:sz w:val="20"/>
        </w:rPr>
        <w:t>testing</w:t>
      </w:r>
      <w:r>
        <w:rPr>
          <w:color w:val="231F20"/>
        </w:rPr>
        <w:t xml:space="preserve"> </w:t>
      </w:r>
      <w:r>
        <w:rPr>
          <w:rFonts w:ascii="Times New Roman;serif" w:hAnsi="Times New Roman;serif"/>
          <w:b w:val="false"/>
          <w:color w:val="231F20"/>
          <w:sz w:val="20"/>
        </w:rPr>
        <w:t>beyond</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expect,</w:t>
      </w:r>
      <w:r>
        <w:rPr>
          <w:color w:val="231F20"/>
        </w:rPr>
        <w:t xml:space="preserve"> </w:t>
      </w:r>
      <w:r>
        <w:rPr>
          <w:rFonts w:ascii="Times New Roman;serif" w:hAnsi="Times New Roman;serif"/>
          <w:b w:val="false"/>
          <w:color w:val="231F20"/>
          <w:sz w:val="20"/>
        </w:rPr>
        <w:t>or if</w:t>
      </w:r>
      <w:r>
        <w:rPr>
          <w:color w:val="231F20"/>
        </w:rPr>
        <w:t xml:space="preserve"> </w:t>
      </w:r>
      <w:r>
        <w:rPr>
          <w:rFonts w:ascii="Times New Roman;serif" w:hAnsi="Times New Roman;serif"/>
          <w:b w:val="false"/>
          <w:color w:val="231F20"/>
          <w:sz w:val="20"/>
        </w:rPr>
        <w:t>we experience</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delays</w:t>
      </w:r>
      <w:r>
        <w:rPr>
          <w:color w:val="231F20"/>
        </w:rPr>
        <w:t xml:space="preserve"> </w:t>
      </w:r>
      <w:r>
        <w:rPr>
          <w:rFonts w:ascii="Times New Roman;serif" w:hAnsi="Times New Roman;serif"/>
          <w:b w:val="false"/>
          <w:color w:val="231F20"/>
          <w:sz w:val="20"/>
        </w:rPr>
        <w:t>in enrollment</w:t>
      </w:r>
      <w:r>
        <w:rPr>
          <w:color w:val="231F20"/>
        </w:rPr>
        <w:t xml:space="preserve"> </w:t>
      </w:r>
      <w:r>
        <w:rPr>
          <w:rFonts w:ascii="Times New Roman;serif" w:hAnsi="Times New Roman;serif"/>
          <w:b w:val="false"/>
          <w:color w:val="231F20"/>
          <w:sz w:val="20"/>
        </w:rPr>
        <w:t>in any of our</w:t>
      </w:r>
      <w:r>
        <w:rPr>
          <w:color w:val="231F20"/>
        </w:rPr>
        <w:t xml:space="preserve"> </w:t>
      </w:r>
      <w:r>
        <w:rPr>
          <w:rFonts w:ascii="Times New Roman;serif" w:hAnsi="Times New Roman;serif"/>
          <w:b w:val="false"/>
          <w:color w:val="231F20"/>
          <w:sz w:val="20"/>
        </w:rPr>
        <w:t>planned</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be required</w:t>
      </w:r>
      <w:r>
        <w:rPr>
          <w:color w:val="231F20"/>
        </w:rPr>
        <w:t xml:space="preserve"> </w:t>
      </w:r>
      <w:r>
        <w:rPr>
          <w:rFonts w:ascii="Times New Roman;serif" w:hAnsi="Times New Roman;serif"/>
          <w:b w:val="false"/>
          <w:color w:val="231F20"/>
          <w:sz w:val="20"/>
        </w:rPr>
        <w:t>to expend significant</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resources</w:t>
      </w:r>
      <w:r>
        <w:rPr>
          <w:color w:val="231F20"/>
        </w:rPr>
        <w:t xml:space="preserve"> </w:t>
      </w:r>
      <w:r>
        <w:rPr>
          <w:rFonts w:ascii="Times New Roman;serif" w:hAnsi="Times New Roman;serif"/>
          <w:b w:val="false"/>
          <w:color w:val="231F20"/>
          <w:sz w:val="20"/>
        </w:rPr>
        <w:t>and time</w:t>
      </w:r>
      <w:r>
        <w:rPr>
          <w:color w:val="231F20"/>
        </w:rPr>
        <w:t xml:space="preserve"> </w:t>
      </w:r>
      <w:r>
        <w:rPr>
          <w:rFonts w:ascii="Times New Roman;serif" w:hAnsi="Times New Roman;serif"/>
          <w:b w:val="false"/>
          <w:color w:val="231F20"/>
          <w:sz w:val="20"/>
        </w:rPr>
        <w:t>to complete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 that</w:t>
      </w:r>
      <w:r>
        <w:rPr>
          <w:color w:val="231F20"/>
        </w:rPr>
        <w:t xml:space="preserve"> </w:t>
      </w:r>
      <w:r>
        <w:rPr>
          <w:rFonts w:ascii="Times New Roman;serif" w:hAnsi="Times New Roman;serif"/>
          <w:b w:val="false"/>
          <w:color w:val="231F20"/>
          <w:sz w:val="20"/>
        </w:rPr>
        <w:t>therapeutic</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never</w:t>
      </w:r>
      <w:r>
        <w:rPr>
          <w:color w:val="231F20"/>
        </w:rPr>
        <w:t xml:space="preserve"> </w:t>
      </w:r>
      <w:r>
        <w:rPr>
          <w:rFonts w:ascii="Times New Roman;serif" w:hAnsi="Times New Roman;serif"/>
          <w:b w:val="false"/>
          <w:color w:val="231F20"/>
          <w:sz w:val="20"/>
        </w:rPr>
        <w:t>obtain</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approval</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any of our</w:t>
      </w:r>
      <w:r>
        <w:rPr>
          <w:color w:val="231F20"/>
        </w:rPr>
        <w:t xml:space="preserve"> </w:t>
      </w:r>
      <w:r>
        <w:rPr>
          <w:rFonts w:ascii="Times New Roman;serif" w:hAnsi="Times New Roman;serif"/>
          <w:b w:val="false"/>
          <w:color w:val="231F20"/>
          <w:sz w:val="20"/>
        </w:rPr>
        <w:t>therapeutic</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even if</w:t>
      </w:r>
      <w:r>
        <w:rPr>
          <w:color w:val="231F20"/>
        </w:rPr>
        <w:t xml:space="preserve"> </w:t>
      </w:r>
      <w:r>
        <w:rPr>
          <w:rFonts w:ascii="Times New Roman;serif" w:hAnsi="Times New Roman;serif"/>
          <w:b w:val="false"/>
          <w:color w:val="231F20"/>
          <w:sz w:val="20"/>
        </w:rPr>
        <w:t>we do, drug commercialization</w:t>
      </w:r>
      <w:r>
        <w:rPr>
          <w:color w:val="231F20"/>
        </w:rPr>
        <w:t xml:space="preserve"> </w:t>
      </w:r>
      <w:r>
        <w:rPr>
          <w:rFonts w:ascii="Times New Roman;serif" w:hAnsi="Times New Roman;serif"/>
          <w:b w:val="false"/>
          <w:color w:val="231F20"/>
          <w:sz w:val="20"/>
        </w:rPr>
        <w:t>takes</w:t>
      </w:r>
      <w:r>
        <w:rPr>
          <w:color w:val="231F20"/>
        </w:rPr>
        <w:t xml:space="preserve"> </w:t>
      </w:r>
      <w:r>
        <w:rPr>
          <w:rFonts w:ascii="Times New Roman;serif" w:hAnsi="Times New Roman;serif"/>
          <w:b w:val="false"/>
          <w:color w:val="231F20"/>
          <w:sz w:val="20"/>
        </w:rPr>
        <w:t>several</w:t>
      </w:r>
      <w:r>
        <w:rPr>
          <w:color w:val="231F20"/>
        </w:rPr>
        <w:t xml:space="preserve"> </w:t>
      </w:r>
      <w:r>
        <w:rPr>
          <w:rFonts w:ascii="Times New Roman;serif" w:hAnsi="Times New Roman;serif"/>
          <w:b w:val="false"/>
          <w:color w:val="231F20"/>
          <w:sz w:val="20"/>
        </w:rPr>
        <w:t>years</w:t>
      </w:r>
      <w:r>
        <w:rPr>
          <w:color w:val="231F20"/>
        </w:rPr>
        <w:t xml:space="preserve"> </w:t>
      </w:r>
      <w:r>
        <w:rPr>
          <w:rFonts w:ascii="Times New Roman;serif" w:hAnsi="Times New Roman;serif"/>
          <w:b w:val="false"/>
          <w:color w:val="231F20"/>
          <w:sz w:val="20"/>
        </w:rPr>
        <w:t>and millions</w:t>
      </w:r>
      <w:r>
        <w:rPr>
          <w:color w:val="231F20"/>
        </w:rPr>
        <w:t xml:space="preserve"> </w:t>
      </w:r>
      <w:r>
        <w:rPr>
          <w:rFonts w:ascii="Times New Roman;serif" w:hAnsi="Times New Roman;serif"/>
          <w:b w:val="false"/>
          <w:color w:val="231F20"/>
          <w:sz w:val="20"/>
        </w:rPr>
        <w:t>of dollars in development</w:t>
      </w:r>
      <w:r>
        <w:rPr>
          <w:color w:val="231F20"/>
        </w:rPr>
        <w:t xml:space="preserve"> </w:t>
      </w:r>
      <w:r>
        <w:rPr>
          <w:rFonts w:ascii="Times New Roman;serif" w:hAnsi="Times New Roman;serif"/>
          <w:b w:val="false"/>
          <w:color w:val="231F20"/>
          <w:sz w:val="20"/>
        </w:rPr>
        <w:t>costs.</w:t>
      </w:r>
    </w:p>
    <w:p>
      <w:pPr>
        <w:pStyle w:val="TextBody"/>
        <w:bidi w:val="0"/>
        <w:spacing w:lineRule="auto" w:line="288" w:before="200" w:after="283"/>
        <w:jc w:val="both"/>
        <w:rPr/>
      </w:pPr>
      <w:r>
        <w:rPr>
          <w:rFonts w:ascii="Times New Roman;serif" w:hAnsi="Times New Roman;serif"/>
          <w:b w:val="false"/>
          <w:i/>
          <w:color w:val="231F20"/>
          <w:sz w:val="20"/>
        </w:rPr>
        <w:t>General</w:t>
      </w:r>
      <w:r>
        <w:rPr>
          <w:color w:val="231F20"/>
        </w:rPr>
        <w:t xml:space="preserve"> </w:t>
      </w:r>
      <w:r>
        <w:rPr>
          <w:rFonts w:ascii="Times New Roman;serif" w:hAnsi="Times New Roman;serif"/>
          <w:b w:val="false"/>
          <w:i/>
          <w:color w:val="231F20"/>
          <w:sz w:val="20"/>
        </w:rPr>
        <w:t>and Administrative</w:t>
      </w:r>
    </w:p>
    <w:p>
      <w:pPr>
        <w:pStyle w:val="TextBody"/>
        <w:bidi w:val="0"/>
        <w:spacing w:lineRule="auto" w:line="288" w:before="200" w:after="283"/>
        <w:jc w:val="both"/>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expenses consist</w:t>
      </w:r>
      <w:r>
        <w:rPr>
          <w:color w:val="231F20"/>
        </w:rPr>
        <w:t xml:space="preserve"> </w:t>
      </w:r>
      <w:r>
        <w:rPr>
          <w:rFonts w:ascii="Times New Roman;serif" w:hAnsi="Times New Roman;serif"/>
          <w:b w:val="false"/>
          <w:color w:val="231F20"/>
          <w:sz w:val="20"/>
        </w:rPr>
        <w:t>primarily of</w:t>
      </w:r>
      <w:r>
        <w:rPr>
          <w:color w:val="231F20"/>
        </w:rPr>
        <w:t xml:space="preserve"> </w:t>
      </w:r>
      <w:r>
        <w:rPr>
          <w:rFonts w:ascii="Times New Roman;serif" w:hAnsi="Times New Roman;serif"/>
          <w:b w:val="false"/>
          <w:color w:val="231F20"/>
          <w:sz w:val="20"/>
        </w:rPr>
        <w:t>personnel-related</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salaries, bonuses, benefits, and</w:t>
      </w:r>
      <w:r>
        <w:rPr>
          <w:color w:val="231F20"/>
        </w:rPr>
        <w:t xml:space="preserve"> </w:t>
      </w:r>
      <w:r>
        <w:rPr>
          <w:rFonts w:ascii="Times New Roman;serif" w:hAnsi="Times New Roman;serif"/>
          <w:b w:val="false"/>
          <w:color w:val="231F20"/>
          <w:sz w:val="20"/>
        </w:rPr>
        <w:t>stock-based compensation charges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individuals in</w:t>
      </w:r>
      <w:r>
        <w:rPr>
          <w:color w:val="231F20"/>
        </w:rPr>
        <w:t xml:space="preserve"> </w:t>
      </w:r>
      <w:r>
        <w:rPr>
          <w:rFonts w:ascii="Times New Roman;serif" w:hAnsi="Times New Roman;serif"/>
          <w:b w:val="false"/>
          <w:color w:val="231F20"/>
          <w:sz w:val="20"/>
        </w:rPr>
        <w:t>executive, legal,</w:t>
      </w:r>
      <w:r>
        <w:rPr>
          <w:color w:val="231F20"/>
        </w:rPr>
        <w:t xml:space="preserve"> </w:t>
      </w:r>
      <w:r>
        <w:rPr>
          <w:rFonts w:ascii="Times New Roman;serif" w:hAnsi="Times New Roman;serif"/>
          <w:b w:val="false"/>
          <w:color w:val="231F20"/>
          <w:sz w:val="20"/>
        </w:rPr>
        <w:t>finance, human</w:t>
      </w:r>
      <w:r>
        <w:rPr>
          <w:color w:val="231F20"/>
        </w:rPr>
        <w:t xml:space="preserve"> </w:t>
      </w:r>
      <w:r>
        <w:rPr>
          <w:rFonts w:ascii="Times New Roman;serif" w:hAnsi="Times New Roman;serif"/>
          <w:b w:val="false"/>
          <w:color w:val="231F20"/>
          <w:sz w:val="20"/>
        </w:rPr>
        <w:t>resources,</w:t>
      </w:r>
      <w:r>
        <w:rPr>
          <w:color w:val="231F20"/>
        </w:rPr>
        <w:t xml:space="preserve"> </w:t>
      </w:r>
      <w:r>
        <w:rPr>
          <w:rFonts w:ascii="Times New Roman;serif" w:hAnsi="Times New Roman;serif"/>
          <w:b w:val="false"/>
          <w:color w:val="231F20"/>
          <w:sz w:val="20"/>
        </w:rPr>
        <w:t>facility</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functions.</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legal fees relating</w:t>
      </w:r>
      <w:r>
        <w:rPr>
          <w:color w:val="231F20"/>
        </w:rPr>
        <w:t xml:space="preserve"> </w:t>
      </w:r>
      <w:r>
        <w:rPr>
          <w:rFonts w:ascii="Times New Roman;serif" w:hAnsi="Times New Roman;serif"/>
          <w:b w:val="false"/>
          <w:color w:val="231F20"/>
          <w:sz w:val="20"/>
        </w:rPr>
        <w:t>to intellectual</w:t>
      </w:r>
      <w:r>
        <w:rPr>
          <w:color w:val="231F20"/>
        </w:rPr>
        <w:t xml:space="preserve"> </w:t>
      </w:r>
      <w:r>
        <w:rPr>
          <w:rFonts w:ascii="Times New Roman;serif" w:hAnsi="Times New Roman;serif"/>
          <w:b w:val="false"/>
          <w:color w:val="231F20"/>
          <w:sz w:val="20"/>
        </w:rPr>
        <w:t>property, litigation</w:t>
      </w:r>
      <w:r>
        <w:rPr>
          <w:color w:val="231F20"/>
        </w:rPr>
        <w:t xml:space="preserve"> </w:t>
      </w:r>
      <w:r>
        <w:rPr>
          <w:rFonts w:ascii="Times New Roman;serif" w:hAnsi="Times New Roman;serif"/>
          <w:b w:val="false"/>
          <w:color w:val="231F20"/>
          <w:sz w:val="20"/>
        </w:rPr>
        <w:t>and corporate</w:t>
      </w:r>
      <w:r>
        <w:rPr>
          <w:color w:val="231F20"/>
        </w:rPr>
        <w:t xml:space="preserve"> </w:t>
      </w:r>
      <w:r>
        <w:rPr>
          <w:rFonts w:ascii="Times New Roman;serif" w:hAnsi="Times New Roman;serif"/>
          <w:b w:val="false"/>
          <w:color w:val="231F20"/>
          <w:sz w:val="20"/>
        </w:rPr>
        <w:t>matters,</w:t>
      </w:r>
      <w:r>
        <w:rPr>
          <w:color w:val="231F20"/>
        </w:rPr>
        <w:t xml:space="preserve"> </w:t>
      </w:r>
      <w:r>
        <w:rPr>
          <w:rFonts w:ascii="Times New Roman;serif" w:hAnsi="Times New Roman;serif"/>
          <w:b w:val="false"/>
          <w:color w:val="231F20"/>
          <w:sz w:val="20"/>
        </w:rPr>
        <w:t>professional</w:t>
      </w:r>
      <w:r>
        <w:rPr>
          <w:color w:val="231F20"/>
        </w:rPr>
        <w:t xml:space="preserve"> </w:t>
      </w:r>
      <w:r>
        <w:rPr>
          <w:rFonts w:ascii="Times New Roman;serif" w:hAnsi="Times New Roman;serif"/>
          <w:b w:val="false"/>
          <w:color w:val="231F20"/>
          <w:sz w:val="20"/>
        </w:rPr>
        <w:t>fees for auditing, accounting, tax and consulting</w:t>
      </w:r>
      <w:r>
        <w:rPr>
          <w:color w:val="231F20"/>
        </w:rPr>
        <w:t xml:space="preserve"> </w:t>
      </w:r>
      <w:r>
        <w:rPr>
          <w:rFonts w:ascii="Times New Roman;serif" w:hAnsi="Times New Roman;serif"/>
          <w:b w:val="false"/>
          <w:color w:val="231F20"/>
          <w:sz w:val="20"/>
        </w:rPr>
        <w:t>services,</w:t>
      </w:r>
      <w:r>
        <w:rPr>
          <w:color w:val="231F20"/>
        </w:rPr>
        <w:t xml:space="preserve"> </w:t>
      </w:r>
      <w:r>
        <w:rPr>
          <w:rFonts w:ascii="Times New Roman;serif" w:hAnsi="Times New Roman;serif"/>
          <w:b w:val="false"/>
          <w:color w:val="231F20"/>
          <w:sz w:val="20"/>
        </w:rPr>
        <w:t>office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technology</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insurance</w:t>
      </w:r>
      <w:r>
        <w:rPr>
          <w:color w:val="231F20"/>
        </w:rPr>
        <w:t xml:space="preserve"> </w:t>
      </w:r>
      <w:r>
        <w:rPr>
          <w:rFonts w:ascii="Times New Roman;serif" w:hAnsi="Times New Roman;serif"/>
          <w:b w:val="false"/>
          <w:color w:val="231F20"/>
          <w:sz w:val="20"/>
        </w:rPr>
        <w:t>costs, and</w:t>
      </w:r>
      <w:r>
        <w:rPr>
          <w:color w:val="231F20"/>
        </w:rPr>
        <w:t xml:space="preserve"> </w:t>
      </w:r>
      <w:r>
        <w:rPr>
          <w:rFonts w:ascii="Times New Roman;serif" w:hAnsi="Times New Roman;serif"/>
          <w:b w:val="false"/>
          <w:color w:val="231F20"/>
          <w:sz w:val="20"/>
        </w:rPr>
        <w:t>facilities,</w:t>
      </w:r>
      <w:r>
        <w:rPr>
          <w:color w:val="231F20"/>
        </w:rPr>
        <w:t xml:space="preserve"> </w:t>
      </w:r>
      <w:r>
        <w:rPr>
          <w:rFonts w:ascii="Times New Roman;serif" w:hAnsi="Times New Roman;serif"/>
          <w:b w:val="false"/>
          <w:color w:val="231F20"/>
          <w:sz w:val="20"/>
        </w:rPr>
        <w:t>depreciation</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which include</w:t>
      </w:r>
      <w:r>
        <w:rPr>
          <w:color w:val="231F20"/>
        </w:rPr>
        <w:t xml:space="preserve"> </w:t>
      </w:r>
      <w:r>
        <w:rPr>
          <w:rFonts w:ascii="Times New Roman;serif" w:hAnsi="Times New Roman;serif"/>
          <w:b w:val="false"/>
          <w:color w:val="231F20"/>
          <w:sz w:val="20"/>
        </w:rPr>
        <w:t>rent</w:t>
      </w:r>
      <w:r>
        <w:rPr>
          <w:color w:val="231F20"/>
        </w:rPr>
        <w:t xml:space="preserve"> </w:t>
      </w:r>
      <w:r>
        <w:rPr>
          <w:rFonts w:ascii="Times New Roman;serif" w:hAnsi="Times New Roman;serif"/>
          <w:b w:val="false"/>
          <w:color w:val="231F20"/>
          <w:sz w:val="20"/>
        </w:rPr>
        <w:t>and maintenance</w:t>
      </w:r>
      <w:r>
        <w:rPr>
          <w:color w:val="231F20"/>
        </w:rPr>
        <w:t xml:space="preserve"> </w:t>
      </w:r>
      <w:r>
        <w:rPr>
          <w:rFonts w:ascii="Times New Roman;serif" w:hAnsi="Times New Roman;serif"/>
          <w:b w:val="false"/>
          <w:color w:val="231F20"/>
          <w:sz w:val="20"/>
        </w:rPr>
        <w:t>of facilities</w:t>
      </w:r>
      <w:r>
        <w:rPr>
          <w:color w:val="231F20"/>
        </w:rPr>
        <w:t xml:space="preserve"> </w:t>
      </w:r>
      <w:r>
        <w:rPr>
          <w:rFonts w:ascii="Times New Roman;serif" w:hAnsi="Times New Roman;serif"/>
          <w:b w:val="false"/>
          <w:color w:val="231F20"/>
          <w:sz w:val="20"/>
        </w:rPr>
        <w:t>and utilities.</w:t>
      </w:r>
    </w:p>
    <w:p>
      <w:pPr>
        <w:pStyle w:val="TextBody"/>
        <w:bidi w:val="0"/>
        <w:spacing w:lineRule="auto" w:line="288" w:before="200" w:after="283"/>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anticipate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 expenses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increase</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foreseeable</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to support</w:t>
      </w:r>
      <w:r>
        <w:rPr>
          <w:color w:val="231F20"/>
        </w:rPr>
        <w:t xml:space="preserve"> </w:t>
      </w:r>
      <w:r>
        <w:rPr>
          <w:rFonts w:ascii="Times New Roman;serif" w:hAnsi="Times New Roman;serif"/>
          <w:b w:val="false"/>
          <w:color w:val="231F20"/>
          <w:sz w:val="20"/>
        </w:rPr>
        <w:t>our increased</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We also</w:t>
      </w:r>
      <w:r>
        <w:rPr>
          <w:color w:val="231F20"/>
        </w:rPr>
        <w:t xml:space="preserve"> </w:t>
      </w:r>
      <w:r>
        <w:rPr>
          <w:rFonts w:ascii="Times New Roman;serif" w:hAnsi="Times New Roman;serif"/>
          <w:b w:val="false"/>
          <w:color w:val="231F20"/>
          <w:sz w:val="20"/>
        </w:rPr>
        <w:t>anticipate</w:t>
      </w:r>
      <w:r>
        <w:rPr>
          <w:color w:val="231F20"/>
        </w:rPr>
        <w:t xml:space="preserve"> </w:t>
      </w:r>
      <w:r>
        <w:rPr>
          <w:rFonts w:ascii="Times New Roman;serif" w:hAnsi="Times New Roman;serif"/>
          <w:b w:val="false"/>
          <w:color w:val="231F20"/>
          <w:sz w:val="20"/>
        </w:rPr>
        <w:t>increased</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to audit, accounting,</w:t>
      </w:r>
      <w:r>
        <w:rPr>
          <w:color w:val="231F20"/>
        </w:rPr>
        <w:t xml:space="preserve"> </w:t>
      </w:r>
      <w:r>
        <w:rPr>
          <w:rFonts w:ascii="Times New Roman;serif" w:hAnsi="Times New Roman;serif"/>
          <w:b w:val="false"/>
          <w:color w:val="231F20"/>
          <w:sz w:val="20"/>
        </w:rPr>
        <w:t>legal,</w:t>
      </w:r>
      <w:r>
        <w:rPr>
          <w:color w:val="231F20"/>
        </w:rPr>
        <w:t xml:space="preserve"> </w:t>
      </w:r>
      <w:r>
        <w:rPr>
          <w:rFonts w:ascii="Times New Roman;serif" w:hAnsi="Times New Roman;serif"/>
          <w:b w:val="false"/>
          <w:color w:val="231F20"/>
          <w:sz w:val="20"/>
        </w:rPr>
        <w:t>regulatory,</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tax-related</w:t>
      </w:r>
      <w:r>
        <w:rPr>
          <w:color w:val="231F20"/>
        </w:rPr>
        <w:t xml:space="preserve"> </w:t>
      </w:r>
      <w:r>
        <w:rPr>
          <w:rFonts w:ascii="Times New Roman;serif" w:hAnsi="Times New Roman;serif"/>
          <w:b w:val="false"/>
          <w:color w:val="231F20"/>
          <w:sz w:val="20"/>
        </w:rPr>
        <w:t>services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 maintaining</w:t>
      </w:r>
      <w:r>
        <w:rPr>
          <w:color w:val="231F20"/>
        </w:rPr>
        <w:t xml:space="preserve"> </w:t>
      </w:r>
      <w:r>
        <w:rPr>
          <w:rFonts w:ascii="Times New Roman;serif" w:hAnsi="Times New Roman;serif"/>
          <w:b w:val="false"/>
          <w:color w:val="231F20"/>
          <w:sz w:val="20"/>
        </w:rPr>
        <w:t>compliance</w:t>
      </w:r>
      <w:r>
        <w:rPr>
          <w:color w:val="231F20"/>
        </w:rPr>
        <w:t xml:space="preserve"> </w:t>
      </w:r>
      <w:r>
        <w:rPr>
          <w:rFonts w:ascii="Times New Roman;serif" w:hAnsi="Times New Roman;serif"/>
          <w:b w:val="false"/>
          <w:color w:val="231F20"/>
          <w:sz w:val="20"/>
        </w:rPr>
        <w:t>with our Nasdaq and</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Exchange</w:t>
      </w:r>
      <w:r>
        <w:rPr>
          <w:color w:val="231F20"/>
        </w:rPr>
        <w:t xml:space="preserve"> </w:t>
      </w:r>
      <w:r>
        <w:rPr>
          <w:rFonts w:ascii="Times New Roman;serif" w:hAnsi="Times New Roman;serif"/>
          <w:b w:val="false"/>
          <w:color w:val="231F20"/>
          <w:sz w:val="20"/>
        </w:rPr>
        <w:t>Commission,</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SEC, requirements,</w:t>
      </w:r>
      <w:r>
        <w:rPr>
          <w:color w:val="231F20"/>
        </w:rPr>
        <w:t xml:space="preserve"> </w:t>
      </w:r>
      <w:r>
        <w:rPr>
          <w:rFonts w:ascii="Times New Roman;serif" w:hAnsi="Times New Roman;serif"/>
          <w:b w:val="false"/>
          <w:color w:val="231F20"/>
          <w:sz w:val="20"/>
        </w:rPr>
        <w:t>director</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officer</w:t>
      </w:r>
      <w:r>
        <w:rPr>
          <w:color w:val="231F20"/>
        </w:rPr>
        <w:t xml:space="preserve"> </w:t>
      </w:r>
      <w:r>
        <w:rPr>
          <w:rFonts w:ascii="Times New Roman;serif" w:hAnsi="Times New Roman;serif"/>
          <w:b w:val="false"/>
          <w:color w:val="231F20"/>
          <w:sz w:val="20"/>
        </w:rPr>
        <w:t>insurance</w:t>
      </w:r>
      <w:r>
        <w:rPr>
          <w:color w:val="231F20"/>
        </w:rPr>
        <w:t xml:space="preserve"> </w:t>
      </w:r>
      <w:r>
        <w:rPr>
          <w:rFonts w:ascii="Times New Roman;serif" w:hAnsi="Times New Roman;serif"/>
          <w:b w:val="false"/>
          <w:color w:val="231F20"/>
          <w:sz w:val="20"/>
        </w:rPr>
        <w:t>premiums,</w:t>
      </w:r>
      <w:r>
        <w:rPr>
          <w:color w:val="231F20"/>
        </w:rPr>
        <w:t xml:space="preserve"> </w:t>
      </w:r>
      <w:r>
        <w:rPr>
          <w:rFonts w:ascii="Times New Roman;serif" w:hAnsi="Times New Roman;serif"/>
          <w:b w:val="false"/>
          <w:color w:val="231F20"/>
          <w:sz w:val="20"/>
        </w:rPr>
        <w:t>and investor</w:t>
      </w:r>
      <w:r>
        <w:rPr>
          <w:color w:val="231F20"/>
        </w:rPr>
        <w:t xml:space="preserve"> </w:t>
      </w:r>
      <w:r>
        <w:rPr>
          <w:rFonts w:ascii="Times New Roman;serif" w:hAnsi="Times New Roman;serif"/>
          <w:b w:val="false"/>
          <w:color w:val="231F20"/>
          <w:sz w:val="20"/>
        </w:rPr>
        <w:t>relations</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 operating</w:t>
      </w:r>
      <w:r>
        <w:rPr>
          <w:color w:val="231F20"/>
        </w:rPr>
        <w:t xml:space="preserve"> </w:t>
      </w:r>
      <w:r>
        <w:rPr>
          <w:rFonts w:ascii="Times New Roman;serif" w:hAnsi="Times New Roman;serif"/>
          <w:b w:val="false"/>
          <w:color w:val="231F20"/>
          <w:sz w:val="20"/>
        </w:rPr>
        <w:t>as a public</w:t>
      </w:r>
      <w:r>
        <w:rPr>
          <w:color w:val="231F20"/>
        </w:rPr>
        <w:t xml:space="preserve"> </w:t>
      </w:r>
      <w:r>
        <w:rPr>
          <w:rFonts w:ascii="Times New Roman;serif" w:hAnsi="Times New Roman;serif"/>
          <w:b w:val="false"/>
          <w:color w:val="231F20"/>
          <w:sz w:val="20"/>
        </w:rPr>
        <w:t>company.</w:t>
      </w:r>
    </w:p>
    <w:p>
      <w:pPr>
        <w:pStyle w:val="TextBody"/>
        <w:bidi w:val="0"/>
        <w:spacing w:lineRule="auto" w:line="288" w:before="200" w:after="283"/>
        <w:jc w:val="both"/>
        <w:rPr>
          <w:rFonts w:ascii="Times New Roman;serif" w:hAnsi="Times New Roman;serif"/>
          <w:b/>
          <w:i/>
          <w:color w:val="231F20"/>
          <w:sz w:val="20"/>
        </w:rPr>
      </w:pPr>
      <w:r>
        <w:rPr>
          <w:rFonts w:ascii="Times New Roman;serif" w:hAnsi="Times New Roman;serif"/>
          <w:b/>
          <w:i/>
          <w:color w:val="231F20"/>
          <w:sz w:val="20"/>
        </w:rPr>
        <w:t>Other (Expenses) Income</w:t>
      </w:r>
    </w:p>
    <w:p>
      <w:pPr>
        <w:pStyle w:val="TextBody"/>
        <w:bidi w:val="0"/>
        <w:spacing w:lineRule="auto" w:line="288" w:before="200" w:after="283"/>
        <w:jc w:val="both"/>
        <w:rPr/>
      </w:pPr>
      <w:r>
        <w:rPr>
          <w:rFonts w:ascii="Times New Roman;serif" w:hAnsi="Times New Roman;serif"/>
          <w:b w:val="false"/>
          <w:i/>
          <w:color w:val="231F20"/>
          <w:sz w:val="20"/>
        </w:rPr>
        <w:t>Interest</w:t>
      </w:r>
      <w:r>
        <w:rPr>
          <w:color w:val="231F20"/>
        </w:rPr>
        <w:t xml:space="preserve"> </w:t>
      </w:r>
      <w:r>
        <w:rPr>
          <w:rFonts w:ascii="Times New Roman;serif" w:hAnsi="Times New Roman;serif"/>
          <w:b w:val="false"/>
          <w:i/>
          <w:color w:val="231F20"/>
          <w:sz w:val="20"/>
        </w:rPr>
        <w:t>Income</w:t>
      </w:r>
    </w:p>
    <w:p>
      <w:pPr>
        <w:pStyle w:val="TextBody"/>
        <w:bidi w:val="0"/>
        <w:spacing w:lineRule="auto" w:line="288" w:before="200" w:after="283"/>
        <w:jc w:val="both"/>
        <w:rPr/>
      </w:pPr>
      <w:r>
        <w:rPr>
          <w:rFonts w:ascii="Times New Roman;serif" w:hAnsi="Times New Roman;serif"/>
          <w:b w:val="false"/>
          <w:color w:val="231F20"/>
          <w:sz w:val="20"/>
        </w:rPr>
        <w:t>Interest</w:t>
      </w:r>
      <w:r>
        <w:rPr>
          <w:color w:val="231F20"/>
        </w:rPr>
        <w:t xml:space="preserve"> </w:t>
      </w: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consists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interest</w:t>
      </w:r>
      <w:r>
        <w:rPr>
          <w:color w:val="231F20"/>
        </w:rPr>
        <w:t xml:space="preserve"> </w:t>
      </w: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earned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equivalents and marketable securities.</w:t>
      </w:r>
      <w:r>
        <w:rPr>
          <w:color w:val="231F20"/>
        </w:rPr>
        <w:t xml:space="preserve"> </w:t>
      </w:r>
    </w:p>
    <w:p>
      <w:pPr>
        <w:pStyle w:val="TextBody"/>
        <w:bidi w:val="0"/>
        <w:spacing w:lineRule="auto" w:line="288" w:before="200" w:after="283"/>
        <w:jc w:val="both"/>
        <w:rPr/>
      </w:pPr>
      <w:r>
        <w:rPr>
          <w:rFonts w:ascii="Times New Roman;serif" w:hAnsi="Times New Roman;serif"/>
          <w:b w:val="false"/>
          <w:i/>
          <w:color w:val="231F20"/>
          <w:sz w:val="20"/>
        </w:rPr>
        <w:t>Income</w:t>
      </w:r>
      <w:r>
        <w:rPr>
          <w:color w:val="231F20"/>
        </w:rPr>
        <w:t xml:space="preserve"> </w:t>
      </w:r>
      <w:r>
        <w:rPr>
          <w:rFonts w:ascii="Times New Roman;serif" w:hAnsi="Times New Roman;serif"/>
          <w:b w:val="false"/>
          <w:i/>
          <w:color w:val="231F20"/>
          <w:sz w:val="20"/>
        </w:rPr>
        <w:t>Taxes</w:t>
      </w:r>
    </w:p>
    <w:p>
      <w:pPr>
        <w:pStyle w:val="TextBody"/>
        <w:bidi w:val="0"/>
        <w:spacing w:lineRule="auto" w:line="288" w:before="200" w:after="283"/>
        <w:jc w:val="both"/>
        <w:rPr/>
      </w:pPr>
      <w:r>
        <w:rPr>
          <w:rFonts w:ascii="Times New Roman;serif" w:hAnsi="Times New Roman;serif"/>
          <w:b w:val="false"/>
          <w:color w:val="231F20"/>
          <w:sz w:val="20"/>
        </w:rPr>
        <w:t>The Company’s</w:t>
      </w:r>
      <w:r>
        <w:rPr>
          <w:color w:val="231F20"/>
        </w:rPr>
        <w:t xml:space="preserve"> </w:t>
      </w:r>
      <w:r>
        <w:rPr>
          <w:rFonts w:ascii="Times New Roman;serif" w:hAnsi="Times New Roman;serif"/>
          <w:b w:val="false"/>
          <w:color w:val="231F20"/>
          <w:sz w:val="20"/>
        </w:rPr>
        <w:t>provision</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taxes</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not material</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three and six months ended June 30, 2026 and 2025.</w:t>
      </w:r>
    </w:p>
    <w:p>
      <w:pPr>
        <w:pStyle w:val="TextBody"/>
        <w:bidi w:val="0"/>
        <w:spacing w:lineRule="auto" w:line="288" w:before="200" w:after="283"/>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inception,</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not</w:t>
      </w:r>
      <w:r>
        <w:rPr>
          <w:color w:val="231F20"/>
        </w:rPr>
        <w:t xml:space="preserve"> </w:t>
      </w:r>
      <w:r>
        <w:rPr>
          <w:rFonts w:ascii="Times New Roman;serif" w:hAnsi="Times New Roman;serif"/>
          <w:b w:val="false"/>
          <w:color w:val="231F20"/>
          <w:sz w:val="20"/>
        </w:rPr>
        <w:t>recorded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U.S. federal</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state</w:t>
      </w:r>
      <w:r>
        <w:rPr>
          <w:color w:val="231F20"/>
        </w:rPr>
        <w:t xml:space="preserve"> </w:t>
      </w: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tax</w:t>
      </w:r>
      <w:r>
        <w:rPr>
          <w:color w:val="231F20"/>
        </w:rPr>
        <w:t xml:space="preserve"> </w:t>
      </w:r>
      <w:r>
        <w:rPr>
          <w:rFonts w:ascii="Times New Roman;serif" w:hAnsi="Times New Roman;serif"/>
          <w:b w:val="false"/>
          <w:color w:val="231F20"/>
          <w:sz w:val="20"/>
        </w:rPr>
        <w:t>benefits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losses</w:t>
      </w:r>
      <w:r>
        <w:rPr>
          <w:color w:val="231F20"/>
        </w:rPr>
        <w:t xml:space="preserve"> </w:t>
      </w:r>
      <w:r>
        <w:rPr>
          <w:rFonts w:ascii="Times New Roman;serif" w:hAnsi="Times New Roman;serif"/>
          <w:b w:val="false"/>
          <w:color w:val="231F20"/>
          <w:sz w:val="20"/>
        </w:rPr>
        <w:t>we have</w:t>
      </w:r>
      <w:r>
        <w:rPr>
          <w:color w:val="231F20"/>
        </w:rPr>
        <w:t xml:space="preserve"> </w:t>
      </w:r>
      <w:r>
        <w:rPr>
          <w:rFonts w:ascii="Times New Roman;serif" w:hAnsi="Times New Roman;serif"/>
          <w:b w:val="false"/>
          <w:color w:val="231F20"/>
          <w:sz w:val="20"/>
        </w:rPr>
        <w:t>incurred</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each</w:t>
      </w:r>
      <w:r>
        <w:rPr>
          <w:color w:val="231F20"/>
        </w:rPr>
        <w:t xml:space="preserve"> </w:t>
      </w:r>
      <w:r>
        <w:rPr>
          <w:rFonts w:ascii="Times New Roman;serif" w:hAnsi="Times New Roman;serif"/>
          <w:b w:val="false"/>
          <w:color w:val="231F20"/>
          <w:sz w:val="20"/>
        </w:rPr>
        <w:t>year</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earned</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tax</w:t>
      </w:r>
      <w:r>
        <w:rPr>
          <w:color w:val="231F20"/>
        </w:rPr>
        <w:t xml:space="preserve"> </w:t>
      </w:r>
      <w:r>
        <w:rPr>
          <w:rFonts w:ascii="Times New Roman;serif" w:hAnsi="Times New Roman;serif"/>
          <w:b w:val="false"/>
          <w:color w:val="231F20"/>
          <w:sz w:val="20"/>
        </w:rPr>
        <w:t>credits,</w:t>
      </w:r>
      <w:r>
        <w:rPr>
          <w:color w:val="231F20"/>
        </w:rPr>
        <w:t xml:space="preserve"> </w:t>
      </w:r>
      <w:r>
        <w:rPr>
          <w:rFonts w:ascii="Times New Roman;serif" w:hAnsi="Times New Roman;serif"/>
          <w:b w:val="false"/>
          <w:color w:val="231F20"/>
          <w:sz w:val="20"/>
        </w:rPr>
        <w:t>due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 uncertainty</w:t>
      </w:r>
      <w:r>
        <w:rPr>
          <w:color w:val="231F20"/>
        </w:rPr>
        <w:t xml:space="preserve"> </w:t>
      </w:r>
      <w:r>
        <w:rPr>
          <w:rFonts w:ascii="Times New Roman;serif" w:hAnsi="Times New Roman;serif"/>
          <w:b w:val="false"/>
          <w:color w:val="231F20"/>
          <w:sz w:val="20"/>
        </w:rPr>
        <w:t>of realizing a benefit</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items.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Comprehensive Loss</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held marketable securities in U.S. Treasury Bills. The unrealized loss on these instruments was recorded in Other Comprehensive Loss.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i/>
          <w:color w:val="231F20"/>
          <w:sz w:val="20"/>
        </w:rPr>
      </w:pPr>
      <w:r>
        <w:rPr>
          <w:rFonts w:ascii="Times New Roman;serif" w:hAnsi="Times New Roman;serif"/>
          <w:b/>
          <w:i/>
          <w:color w:val="231F20"/>
          <w:sz w:val="20"/>
        </w:rPr>
        <w:t>Results of Operations</w:t>
      </w:r>
    </w:p>
    <w:p>
      <w:pPr>
        <w:pStyle w:val="TextBody"/>
        <w:bidi w:val="0"/>
        <w:spacing w:lineRule="auto" w:line="288" w:before="200" w:after="283"/>
        <w:jc w:val="both"/>
        <w:rPr>
          <w:rFonts w:ascii="Times New Roman;serif" w:hAnsi="Times New Roman;serif"/>
          <w:b w:val="false"/>
          <w:i/>
          <w:color w:val="231F20"/>
          <w:sz w:val="20"/>
        </w:rPr>
      </w:pPr>
      <w:r>
        <w:rPr>
          <w:rFonts w:ascii="Times New Roman;serif" w:hAnsi="Times New Roman;serif"/>
          <w:b w:val="false"/>
          <w:i/>
          <w:color w:val="231F20"/>
          <w:sz w:val="20"/>
        </w:rPr>
        <w:t>Comparison of the three months ended June 30, 2026 and 2025</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our results of operations for the three months ended June 30, 2026 and 2025 (in thousands):</w:t>
      </w:r>
    </w:p>
    <w:tbl>
      <w:tblPr>
        <w:tblW w:w="7898"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44,862 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22,996 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27,933 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(27,933)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(28,039)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(27,388)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(28,048)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w:t>
      </w:r>
      <w:r>
        <w:rPr>
          <w:color w:val="231F20"/>
        </w:rPr>
        <w:t xml:space="preserve"> </w:t>
      </w:r>
      <w:r>
        <w:rPr>
          <w:rFonts w:ascii="Times New Roman;serif" w:hAnsi="Times New Roman;serif"/>
          <w:b w:val="false"/>
          <w:i/>
          <w:color w:val="231F20"/>
          <w:sz w:val="20"/>
        </w:rPr>
        <w:t>Expenses</w:t>
      </w:r>
      <w:r>
        <w:rPr>
          <w:color w:val="231F20"/>
        </w:rPr>
        <w:t xml:space="preserve"> </w:t>
      </w:r>
      <w:r>
        <w:rPr>
          <w:rFonts w:ascii="Times New Roman;serif" w:hAnsi="Times New Roman;serif"/>
          <w:b w:val="false"/>
          <w:i/>
          <w:color w:val="231F20"/>
          <w:sz w:val="20"/>
        </w:rPr>
        <w:t>(including</w:t>
      </w:r>
      <w:r>
        <w:rPr>
          <w:color w:val="231F20"/>
        </w:rPr>
        <w:t xml:space="preserve"> </w:t>
      </w: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Development—Related</w:t>
      </w:r>
      <w:r>
        <w:rPr>
          <w:color w:val="231F20"/>
        </w:rPr>
        <w:t xml:space="preserve"> </w:t>
      </w:r>
      <w:r>
        <w:rPr>
          <w:rFonts w:ascii="Times New Roman;serif" w:hAnsi="Times New Roman;serif"/>
          <w:b w:val="false"/>
          <w:i/>
          <w:color w:val="231F20"/>
          <w:sz w:val="20"/>
        </w:rPr>
        <w:t>Party)</w:t>
      </w:r>
    </w:p>
    <w:p>
      <w:pPr>
        <w:pStyle w:val="TextBody"/>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$21.0 million from $24.8 million for the three months ended June 30, 2025 to $45.8 million for the three months ended June 30,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193"/>
        <w:gridCol w:w="1927"/>
        <w:gridCol w:w="1935"/>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9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Manufacturing and process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11,484 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8,266 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3,218 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Clinical operations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Research and development personnel cost and other (including stock-based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ind w:left="0" w:right="0" w:hanging="115"/>
              <w:jc w:val="left"/>
              <w:rPr>
                <w:rFonts w:ascii="Times New Roman;serif" w:hAnsi="Times New Roman;serif"/>
                <w:b w:val="false"/>
                <w:color w:val="231F20"/>
                <w:sz w:val="20"/>
              </w:rPr>
            </w:pPr>
            <w:r>
              <w:rPr>
                <w:rFonts w:ascii="Times New Roman;serif" w:hAnsi="Times New Roman;serif"/>
                <w:b w:val="false"/>
                <w:color w:val="231F20"/>
                <w:sz w:val="20"/>
              </w:rPr>
              <w:t>Research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45,773 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24,798 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20,975 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June 30, 2026, compared to the three months ended June 30, 2025 was primarily due to:</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rPr>
        <w:t>approximately $3.2 million in increased manufacturing and process development cost, driven by cost to purchase pembrolizumab in connection with our Phase 2/3 FORTIFI-HN01 pivotal trial;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shd w:fill="FFFFFF" w:val="clear"/>
        </w:rPr>
        <w:t>approximately $10.9 million in increased clinical operation and development cost, driven by costs associated with our Phase 2/3 FORTIFI-HN01 pivotal trial and continued patient enrollment in our ongoing Phase 1/1b trials; and</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approximately $6.9 million in increased personnel related costs, including stock-based compensation, driven by higher number and value of stock options granted and an increase in the size of our workforce to support clinical development, manufacturing and research and increased professional service expenses as we continue to build out our clinical operations and development functions.</w:t>
      </w:r>
    </w:p>
    <w:p>
      <w:pPr>
        <w:pStyle w:val="TextBody"/>
        <w:bidi w:val="0"/>
        <w:spacing w:before="10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i/>
          <w:color w:val="231F20"/>
          <w:sz w:val="20"/>
        </w:rPr>
        <w:t>General</w:t>
      </w:r>
      <w:r>
        <w:rPr>
          <w:color w:val="231F20"/>
        </w:rPr>
        <w:t xml:space="preserve"> </w:t>
      </w:r>
      <w:r>
        <w:rPr>
          <w:rFonts w:ascii="Times New Roman;serif" w:hAnsi="Times New Roman;serif"/>
          <w:b w:val="false"/>
          <w:i/>
          <w:color w:val="231F20"/>
          <w:sz w:val="20"/>
        </w:rPr>
        <w:t>and Administrative</w:t>
      </w:r>
      <w:r>
        <w:rPr>
          <w:color w:val="231F20"/>
        </w:rPr>
        <w:t xml:space="preserve"> </w:t>
      </w:r>
      <w:r>
        <w:rPr>
          <w:rFonts w:ascii="Times New Roman;serif" w:hAnsi="Times New Roman;serif"/>
          <w:b w:val="false"/>
          <w:i/>
          <w:color w:val="231F20"/>
          <w:sz w:val="20"/>
        </w:rPr>
        <w:t>Expenses</w:t>
      </w:r>
    </w:p>
    <w:p>
      <w:pPr>
        <w:pStyle w:val="TextBody"/>
        <w:bidi w:val="0"/>
        <w:spacing w:lineRule="auto" w:line="288" w:before="200" w:after="283"/>
        <w:jc w:val="both"/>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$7.0 million</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000000"/>
          <w:sz w:val="20"/>
        </w:rPr>
        <w:t>$7.2 million</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three</w:t>
      </w:r>
      <w:r>
        <w:rPr>
          <w:color w:val="000000"/>
        </w:rPr>
        <w:t xml:space="preserve"> </w:t>
      </w:r>
      <w:r>
        <w:rPr>
          <w:rFonts w:ascii="Times New Roman;serif" w:hAnsi="Times New Roman;serif"/>
          <w:b w:val="false"/>
          <w:color w:val="000000"/>
          <w:sz w:val="20"/>
        </w:rPr>
        <w:t>months ended June 30, 2025</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$14.2 million</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three</w:t>
      </w:r>
      <w:r>
        <w:rPr>
          <w:color w:val="231F20"/>
        </w:rPr>
        <w:t xml:space="preserve"> </w:t>
      </w:r>
      <w:r>
        <w:rPr>
          <w:rFonts w:ascii="Times New Roman;serif" w:hAnsi="Times New Roman;serif"/>
          <w:b w:val="false"/>
          <w:color w:val="231F20"/>
          <w:sz w:val="20"/>
        </w:rPr>
        <w:t>months ended June 30, 2026. The following</w:t>
      </w:r>
      <w:r>
        <w:rPr>
          <w:color w:val="231F20"/>
        </w:rPr>
        <w:t xml:space="preserve"> </w:t>
      </w:r>
      <w:r>
        <w:rPr>
          <w:rFonts w:ascii="Times New Roman;serif" w:hAnsi="Times New Roman;serif"/>
          <w:b w:val="false"/>
          <w:color w:val="231F20"/>
          <w:sz w:val="20"/>
        </w:rPr>
        <w:t>table</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our 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six</w:t>
      </w:r>
      <w:r>
        <w:rPr>
          <w:color w:val="231F20"/>
        </w:rPr>
        <w:t xml:space="preserve"> </w:t>
      </w:r>
      <w:r>
        <w:rPr>
          <w:rFonts w:ascii="Times New Roman;serif" w:hAnsi="Times New Roman;serif"/>
          <w:b w:val="false"/>
          <w:color w:val="231F20"/>
          <w:sz w:val="20"/>
        </w:rPr>
        <w:t>months</w:t>
      </w:r>
      <w:r>
        <w:rPr>
          <w:color w:val="231F20"/>
        </w:rPr>
        <w:t xml:space="preserve"> </w:t>
      </w:r>
      <w:r>
        <w:rPr>
          <w:rFonts w:ascii="Times New Roman;serif" w:hAnsi="Times New Roman;serif"/>
          <w:b w:val="false"/>
          <w:color w:val="231F20"/>
          <w:sz w:val="20"/>
        </w:rPr>
        <w:t>ended June 30, 2026 and 2025 (in</w:t>
      </w:r>
      <w:r>
        <w:rPr>
          <w:color w:val="231F20"/>
        </w:rPr>
        <w:t xml:space="preserve"> </w:t>
      </w:r>
      <w:r>
        <w:rPr>
          <w:rFonts w:ascii="Times New Roman;serif" w:hAnsi="Times New Roman;serif"/>
          <w:b w:val="false"/>
          <w:color w:val="231F20"/>
          <w:sz w:val="20"/>
        </w:rPr>
        <w:t>thousands):</w:t>
      </w:r>
    </w:p>
    <w:tbl>
      <w:tblPr>
        <w:tblW w:w="10205" w:type="dxa"/>
        <w:jc w:val="left"/>
        <w:tblInd w:w="0" w:type="dxa"/>
        <w:tblLayout w:type="fixed"/>
        <w:tblCellMar>
          <w:top w:w="28" w:type="dxa"/>
          <w:left w:w="28" w:type="dxa"/>
          <w:bottom w:w="28" w:type="dxa"/>
          <w:right w:w="28" w:type="dxa"/>
        </w:tblCellMar>
      </w:tblPr>
      <w:tblGrid>
        <w:gridCol w:w="2276"/>
        <w:gridCol w:w="1989"/>
        <w:gridCol w:w="2000"/>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227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Three Months Ended June 30,</w:t>
            </w:r>
          </w:p>
        </w:tc>
      </w:tr>
      <w:tr>
        <w:trPr/>
        <w:tc>
          <w:tcPr>
            <w:tcW w:w="6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Change</w:t>
            </w:r>
          </w:p>
        </w:tc>
      </w:tr>
      <w:tr>
        <w:trPr/>
        <w:tc>
          <w:tcPr>
            <w:tcW w:w="6265" w:type="dxa"/>
            <w:gridSpan w:val="3"/>
            <w:tcBorders/>
            <w:shd w:fill="CFF0FC" w:val="clear"/>
            <w:tcMar>
              <w:top w:w="0" w:type="dxa"/>
              <w:left w:w="0" w:type="dxa"/>
              <w:bottom w:w="0" w:type="dxa"/>
              <w:right w:w="0" w:type="dxa"/>
            </w:tcMar>
            <w:vAlign w:val="center"/>
          </w:tcPr>
          <w:p>
            <w:pPr>
              <w:pStyle w:val="TableContents"/>
              <w:bidi w:val="0"/>
              <w:spacing w:lineRule="auto" w:line="288" w:before="53" w:after="283"/>
              <w:ind w:left="0" w:right="0" w:hanging="144"/>
              <w:jc w:val="left"/>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personnel</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(including stock-based</w:t>
            </w:r>
            <w:r>
              <w:rPr>
                <w:color w:val="231F20"/>
              </w:rPr>
              <w:t xml:space="preserve"> </w:t>
            </w:r>
            <w:r>
              <w:rPr>
                <w:rFonts w:ascii="Times New Roman;serif" w:hAnsi="Times New Roman;serif"/>
                <w:b w:val="false"/>
                <w:color w:val="231F20"/>
                <w:sz w:val="20"/>
              </w:rPr>
              <w:t>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09"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55"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Professional</w:t>
            </w:r>
            <w:r>
              <w:rPr>
                <w:color w:val="231F20"/>
              </w:rPr>
              <w:t xml:space="preserve"> </w:t>
            </w:r>
            <w:r>
              <w:rPr>
                <w:rFonts w:ascii="Times New Roman;serif" w:hAnsi="Times New Roman;serif"/>
                <w:b w:val="false"/>
                <w:color w:val="231F2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Facility</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insurance, IT, office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231F20"/>
                <w:sz w:val="20"/>
              </w:rPr>
              <w:t>and 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5"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14,178 </w:t>
            </w:r>
          </w:p>
        </w:tc>
        <w:tc>
          <w:tcPr>
            <w:tcW w:w="109"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7,220 </w:t>
            </w:r>
          </w:p>
        </w:tc>
        <w:tc>
          <w:tcPr>
            <w:tcW w:w="109"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6,958 </w:t>
            </w:r>
          </w:p>
        </w:tc>
        <w:tc>
          <w:tcPr>
            <w:tcW w:w="155"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three months ended June 30, 2026, compared to the three months ended June 30, 2025 was primarily due to:</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approximately $4.0 million in increased personnel related costs, including stock-based compensation, driven by an increase in the size of our workforce and by a higher number and value of stock options granted; and</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approximately $3.3 million in increased professional service expenses associated with higher legal, accounting, commercial and other expenses as we continue to build out our general and administrative functions to support advancement of our clinical trials and prepare for potential commercial launch.</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Other Income</w:t>
      </w:r>
    </w:p>
    <w:p>
      <w:pPr>
        <w:pStyle w:val="TextBody"/>
        <w:bidi w:val="0"/>
        <w:spacing w:lineRule="auto" w:line="288" w:before="200" w:after="283"/>
        <w:jc w:val="left"/>
        <w:rPr/>
      </w:pPr>
      <w:r>
        <w:rPr>
          <w:rFonts w:ascii="Times New Roman;serif" w:hAnsi="Times New Roman;serif"/>
          <w:b w:val="false"/>
          <w:i/>
          <w:color w:val="231F20"/>
          <w:sz w:val="20"/>
        </w:rPr>
        <w:t>Interest</w:t>
      </w:r>
      <w:r>
        <w:rPr>
          <w:color w:val="231F20"/>
        </w:rPr>
        <w:t xml:space="preserve"> </w:t>
      </w:r>
      <w:r>
        <w:rPr>
          <w:rFonts w:ascii="Times New Roman;serif" w:hAnsi="Times New Roman;serif"/>
          <w:b w:val="false"/>
          <w:i/>
          <w:color w:val="231F20"/>
          <w:sz w:val="20"/>
        </w:rPr>
        <w:t>income</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231F20"/>
          <w:sz w:val="20"/>
        </w:rPr>
      </w:pPr>
      <w:r>
        <w:rPr>
          <w:rFonts w:ascii="Times New Roman;serif" w:hAnsi="Times New Roman;serif"/>
          <w:b w:val="false"/>
          <w:color w:val="231F20"/>
          <w:sz w:val="20"/>
        </w:rPr>
        <w:t>Interest income for the three months ended June 30, 2026 and 2025 was $4.6 million and $4.7 million, respectively. The decrease was primarily due to lower interest rates.</w:t>
      </w:r>
    </w:p>
    <w:p>
      <w:pPr>
        <w:pStyle w:val="TextBody"/>
        <w:bidi w:val="0"/>
        <w:spacing w:lineRule="auto" w:line="319" w:before="0" w:after="200"/>
        <w:jc w:val="both"/>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and 2025</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our results of operations for the six months ended June 30, 2026 and 2025 (in thousands):</w:t>
      </w:r>
    </w:p>
    <w:tbl>
      <w:tblPr>
        <w:tblW w:w="8003"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211"/>
        <w:gridCol w:w="901"/>
        <w:gridCol w:w="109"/>
        <w:gridCol w:w="109"/>
        <w:gridCol w:w="109"/>
        <w:gridCol w:w="109"/>
        <w:gridCol w:w="211"/>
        <w:gridCol w:w="796"/>
        <w:gridCol w:w="109"/>
        <w:gridCol w:w="109"/>
        <w:gridCol w:w="109"/>
        <w:gridCol w:w="109"/>
        <w:gridCol w:w="211"/>
        <w:gridCol w:w="79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sans-serif" w:hAnsi="sans-serif"/>
                <w:b w:val="false"/>
                <w:color w:val="000000"/>
                <w:sz w:val="20"/>
              </w:rPr>
            </w:pPr>
            <w:r>
              <w:rPr>
                <w:rFonts w:ascii="sans-serif" w:hAnsi="sans-serif"/>
                <w:b w:val="false"/>
                <w:color w:val="000000"/>
                <w:sz w:val="20"/>
              </w:rPr>
              <w:t>90,345 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49,624 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40,721 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sans-serif" w:hAnsi="sans-serif"/>
                <w:b w:val="false"/>
                <w:color w:val="000000"/>
                <w:sz w:val="20"/>
              </w:rPr>
            </w:pPr>
            <w:r>
              <w:rPr>
                <w:rFonts w:ascii="sans-serif" w:hAnsi="sans-serif"/>
                <w:b w:val="false"/>
                <w:color w:val="000000"/>
                <w:sz w:val="20"/>
              </w:rPr>
              <w:t>26,954 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46,385 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(120,191)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(46,385)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(47,422)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(111,647)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(64,234)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(47,413)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w:t>
      </w:r>
      <w:r>
        <w:rPr>
          <w:color w:val="231F20"/>
        </w:rPr>
        <w:t xml:space="preserve"> </w:t>
      </w:r>
      <w:r>
        <w:rPr>
          <w:rFonts w:ascii="Times New Roman;serif" w:hAnsi="Times New Roman;serif"/>
          <w:b w:val="false"/>
          <w:i/>
          <w:color w:val="231F20"/>
          <w:sz w:val="20"/>
        </w:rPr>
        <w:t>Expenses</w:t>
      </w:r>
      <w:r>
        <w:rPr>
          <w:color w:val="231F20"/>
        </w:rPr>
        <w:t xml:space="preserve"> </w:t>
      </w:r>
      <w:r>
        <w:rPr>
          <w:rFonts w:ascii="Times New Roman;serif" w:hAnsi="Times New Roman;serif"/>
          <w:b w:val="false"/>
          <w:i/>
          <w:color w:val="231F20"/>
          <w:sz w:val="20"/>
        </w:rPr>
        <w:t>(including</w:t>
      </w:r>
      <w:r>
        <w:rPr>
          <w:color w:val="231F20"/>
        </w:rPr>
        <w:t xml:space="preserve"> </w:t>
      </w:r>
      <w:r>
        <w:rPr>
          <w:rFonts w:ascii="Times New Roman;serif" w:hAnsi="Times New Roman;serif"/>
          <w:b w:val="false"/>
          <w:i/>
          <w:color w:val="231F20"/>
          <w:sz w:val="20"/>
        </w:rPr>
        <w:t>Research</w:t>
      </w:r>
      <w:r>
        <w:rPr>
          <w:color w:val="231F20"/>
        </w:rPr>
        <w:t xml:space="preserve"> </w:t>
      </w:r>
      <w:r>
        <w:rPr>
          <w:rFonts w:ascii="Times New Roman;serif" w:hAnsi="Times New Roman;serif"/>
          <w:b w:val="false"/>
          <w:i/>
          <w:color w:val="231F20"/>
          <w:sz w:val="20"/>
        </w:rPr>
        <w:t>and Development—Related</w:t>
      </w:r>
      <w:r>
        <w:rPr>
          <w:color w:val="231F20"/>
        </w:rPr>
        <w:t xml:space="preserve"> </w:t>
      </w:r>
      <w:r>
        <w:rPr>
          <w:rFonts w:ascii="Times New Roman;serif" w:hAnsi="Times New Roman;serif"/>
          <w:b w:val="false"/>
          <w:i/>
          <w:color w:val="231F20"/>
          <w:sz w:val="20"/>
        </w:rPr>
        <w:t>Party)</w:t>
      </w:r>
    </w:p>
    <w:p>
      <w:pPr>
        <w:pStyle w:val="TextBody"/>
        <w:bidi w:val="0"/>
        <w:spacing w:before="0" w:after="0"/>
        <w:jc w:val="left"/>
        <w:rPr/>
      </w:pPr>
      <w:r>
        <w:rPr/>
      </w:r>
    </w:p>
    <w:p>
      <w:pPr>
        <w:pStyle w:val="TextBody"/>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$34.1 million from $59.1 million for the six months ended June 30, 2025 to $93.2 million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193"/>
        <w:gridCol w:w="1927"/>
        <w:gridCol w:w="1935"/>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9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Manufacturing and process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34,277 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26,921 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7,356 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Clinical operations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15,824 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Research and development personnel cost and other (including stock-based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21,588 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ind w:left="0" w:right="0" w:hanging="115"/>
              <w:jc w:val="left"/>
              <w:rPr>
                <w:rFonts w:ascii="Times New Roman;serif" w:hAnsi="Times New Roman;serif"/>
                <w:b w:val="false"/>
                <w:color w:val="231F20"/>
                <w:sz w:val="20"/>
              </w:rPr>
            </w:pPr>
            <w:r>
              <w:rPr>
                <w:rFonts w:ascii="Times New Roman;serif" w:hAnsi="Times New Roman;serif"/>
                <w:b w:val="false"/>
                <w:color w:val="231F20"/>
                <w:sz w:val="20"/>
              </w:rPr>
              <w:t>Research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FF0FC"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93,237 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59,131 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34,106 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six months ended June 30, 2026, compared to the six months ended June 30, 2025 was primarily due to:</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rPr>
        <w:t>approximately $7.4 million in increased manufacturing and process development cost, driven by additional batch manufacturing of drug substance in connection with our Phase 2/3 FORTIFI-HN01 pivotal trial and Phase 1/1b clinical trial and cost to purchase pembrolizumab in connection with our Phase 2/3 FORTIFI-HN01 pivotal trial: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$15.8 million</w:t>
      </w:r>
      <w:r>
        <w:rPr>
          <w:color w:val="000000"/>
          <w:shd w:fill="FFFFFF" w:val="clear"/>
        </w:rPr>
        <w:t xml:space="preserve"> </w:t>
      </w:r>
      <w:r>
        <w:rPr>
          <w:rFonts w:ascii="Times New Roman;serif" w:hAnsi="Times New Roman;serif"/>
          <w:b w:val="false"/>
          <w:color w:val="000000"/>
          <w:sz w:val="20"/>
          <w:shd w:fill="FFFFFF" w:val="clear"/>
        </w:rPr>
        <w:t>in increased clinical operation and development cost, driven by costs associated with our Phase 2/3 FORTIFI-HN01 pivotal trial and continued patient enrollment in our ongoing Phase 1/1b trials; and</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$11.0 million</w:t>
      </w:r>
      <w:r>
        <w:rPr>
          <w:color w:val="000000"/>
          <w:shd w:fill="FFFFFF" w:val="clear"/>
        </w:rPr>
        <w:t xml:space="preserve"> </w:t>
      </w:r>
      <w:r>
        <w:rPr>
          <w:rFonts w:ascii="Times New Roman;serif" w:hAnsi="Times New Roman;serif"/>
          <w:b w:val="false"/>
          <w:color w:val="000000"/>
          <w:sz w:val="20"/>
          <w:shd w:fill="FFFFFF" w:val="clear"/>
        </w:rPr>
        <w:t>in increased personnel related costs, including stock-based compensation, driven by higher number and value of stock options granted and an increase in the size of our workforce to support clinical development, manufacturing and research and increased professional service expenses as we continue to build out our clinical operations and development functions.</w:t>
      </w:r>
    </w:p>
    <w:p>
      <w:pPr>
        <w:pStyle w:val="TextBody"/>
        <w:bidi w:val="0"/>
        <w:spacing w:before="100" w:after="100"/>
        <w:jc w:val="both"/>
        <w:rPr/>
      </w:pPr>
      <w:r>
        <w:rPr/>
      </w:r>
    </w:p>
    <w:p>
      <w:pPr>
        <w:pStyle w:val="TextBody"/>
        <w:bidi w:val="0"/>
        <w:spacing w:lineRule="auto" w:line="288" w:before="200" w:after="283"/>
        <w:jc w:val="left"/>
        <w:rPr/>
      </w:pPr>
      <w:r>
        <w:rPr>
          <w:rFonts w:ascii="Times New Roman;serif" w:hAnsi="Times New Roman;serif"/>
          <w:b w:val="false"/>
          <w:i/>
          <w:color w:val="231F20"/>
          <w:sz w:val="20"/>
        </w:rPr>
        <w:t>General</w:t>
      </w:r>
      <w:r>
        <w:rPr>
          <w:color w:val="231F20"/>
        </w:rPr>
        <w:t xml:space="preserve"> </w:t>
      </w:r>
      <w:r>
        <w:rPr>
          <w:rFonts w:ascii="Times New Roman;serif" w:hAnsi="Times New Roman;serif"/>
          <w:b w:val="false"/>
          <w:i/>
          <w:color w:val="231F20"/>
          <w:sz w:val="20"/>
        </w:rPr>
        <w:t>and Administrative</w:t>
      </w:r>
      <w:r>
        <w:rPr>
          <w:color w:val="231F20"/>
        </w:rPr>
        <w:t xml:space="preserve"> </w:t>
      </w:r>
      <w:r>
        <w:rPr>
          <w:rFonts w:ascii="Times New Roman;serif" w:hAnsi="Times New Roman;serif"/>
          <w:b w:val="false"/>
          <w:i/>
          <w:color w:val="231F20"/>
          <w:sz w:val="20"/>
        </w:rPr>
        <w:t>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$12.3 million from $14.7 million for the six months ended June 30, 2025 to $27.0 million for the six months ended June 30, 2026. The following table summarizes our general and administrative expenses for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203"/>
        <w:gridCol w:w="1920"/>
        <w:gridCol w:w="1931"/>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0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Six Months Ended June 30,</w:t>
            </w:r>
          </w:p>
        </w:tc>
      </w:tr>
      <w:tr>
        <w:trPr/>
        <w:tc>
          <w:tcPr>
            <w:tcW w:w="63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Change</w:t>
            </w:r>
          </w:p>
        </w:tc>
      </w:tr>
      <w:tr>
        <w:trPr/>
        <w:tc>
          <w:tcPr>
            <w:tcW w:w="6054" w:type="dxa"/>
            <w:gridSpan w:val="3"/>
            <w:tcBorders/>
            <w:shd w:fill="CFF0FC" w:val="clear"/>
            <w:tcMar>
              <w:top w:w="0" w:type="dxa"/>
              <w:left w:w="0" w:type="dxa"/>
              <w:bottom w:w="0" w:type="dxa"/>
              <w:right w:w="0" w:type="dxa"/>
            </w:tcMar>
            <w:vAlign w:val="center"/>
          </w:tcPr>
          <w:p>
            <w:pPr>
              <w:pStyle w:val="TableContents"/>
              <w:bidi w:val="0"/>
              <w:spacing w:lineRule="auto" w:line="288" w:before="53" w:after="283"/>
              <w:ind w:left="0" w:right="0" w:hanging="144"/>
              <w:jc w:val="left"/>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personnel</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(including stock-based</w:t>
            </w:r>
            <w:r>
              <w:rPr>
                <w:color w:val="231F20"/>
              </w:rPr>
              <w:t xml:space="preserve"> </w:t>
            </w:r>
            <w:r>
              <w:rPr>
                <w:rFonts w:ascii="Times New Roman;serif" w:hAnsi="Times New Roman;serif"/>
                <w:b w:val="false"/>
                <w:color w:val="231F20"/>
                <w:sz w:val="20"/>
              </w:rPr>
              <w:t>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09"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231F2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56" w:type="dxa"/>
            <w:tcBorders>
              <w:top w:val="single" w:sz="8" w:space="0" w:color="231F2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Professional</w:t>
            </w:r>
            <w:r>
              <w:rPr>
                <w:color w:val="231F20"/>
              </w:rPr>
              <w:t xml:space="preserve"> </w:t>
            </w:r>
            <w:r>
              <w:rPr>
                <w:rFonts w:ascii="Times New Roman;serif" w:hAnsi="Times New Roman;serif"/>
                <w:b w:val="false"/>
                <w:color w:val="231F2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Facility</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insurance, IT, office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231F20"/>
                <w:sz w:val="20"/>
              </w:rPr>
              <w:t>and 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 administrative</w:t>
            </w:r>
            <w:r>
              <w:rPr>
                <w:color w:val="231F20"/>
              </w:rPr>
              <w:t xml:space="preserve"> </w:t>
            </w:r>
            <w:r>
              <w:rPr>
                <w:rFonts w:ascii="Times New Roman;serif" w:hAnsi="Times New Roman;serif"/>
                <w:b w:val="false"/>
                <w:color w:val="231F2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26,954 </w:t>
            </w:r>
          </w:p>
        </w:tc>
        <w:tc>
          <w:tcPr>
            <w:tcW w:w="109"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14,675 </w:t>
            </w:r>
          </w:p>
        </w:tc>
        <w:tc>
          <w:tcPr>
            <w:tcW w:w="109"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12,279 </w:t>
            </w:r>
          </w:p>
        </w:tc>
        <w:tc>
          <w:tcPr>
            <w:tcW w:w="156" w:type="dxa"/>
            <w:tcBorders>
              <w:top w:val="single" w:sz="4" w:space="0" w:color="000000"/>
              <w:bottom w:val="double" w:sz="5" w:space="0" w:color="231F2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six months ended June 30, 2026, compared to the six months ended June 30, 2025 was primarily due to:</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$7.1 million</w:t>
      </w:r>
      <w:r>
        <w:rPr>
          <w:color w:val="000000"/>
          <w:shd w:fill="FFFFFF" w:val="clear"/>
        </w:rPr>
        <w:t xml:space="preserve"> </w:t>
      </w:r>
      <w:r>
        <w:rPr>
          <w:rFonts w:ascii="Times New Roman;serif" w:hAnsi="Times New Roman;serif"/>
          <w:b w:val="false"/>
          <w:color w:val="000000"/>
          <w:sz w:val="20"/>
          <w:shd w:fill="FFFFFF" w:val="clear"/>
        </w:rPr>
        <w:t>in increased personnel related costs, including stock-based compensation, driven by an increase in the size of our workforce and by a higher number and value of stock options granted; and</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$6.1 million</w:t>
      </w:r>
      <w:r>
        <w:rPr>
          <w:color w:val="000000"/>
          <w:shd w:fill="FFFFFF" w:val="clear"/>
        </w:rPr>
        <w:t xml:space="preserve"> </w:t>
      </w:r>
      <w:r>
        <w:rPr>
          <w:rFonts w:ascii="Times New Roman;serif" w:hAnsi="Times New Roman;serif"/>
          <w:b w:val="false"/>
          <w:color w:val="000000"/>
          <w:sz w:val="20"/>
          <w:shd w:fill="FFFFFF" w:val="clear"/>
        </w:rPr>
        <w:t>in increased professional service expenses associated with higher legal, accounting, commercial and other expenses as we continue to build out our general and administrative functions to support advancement of our clinical trials and prepare for potential commercial launch.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605" cy="14605"/>
                <wp:effectExtent l="0" t="0" r="0" b="0"/>
                <wp:wrapNone/>
                <wp:docPr id="35" name="Frame3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Other Income</w:t>
      </w:r>
    </w:p>
    <w:p>
      <w:pPr>
        <w:pStyle w:val="TextBody"/>
        <w:bidi w:val="0"/>
        <w:spacing w:lineRule="auto" w:line="288" w:before="200" w:after="283"/>
        <w:jc w:val="left"/>
        <w:rPr/>
      </w:pPr>
      <w:r>
        <w:rPr>
          <w:rFonts w:ascii="Times New Roman;serif" w:hAnsi="Times New Roman;serif"/>
          <w:b w:val="false"/>
          <w:i/>
          <w:color w:val="231F20"/>
          <w:sz w:val="20"/>
        </w:rPr>
        <w:t>Interest</w:t>
      </w:r>
      <w:r>
        <w:rPr>
          <w:color w:val="231F20"/>
        </w:rPr>
        <w:t xml:space="preserve"> </w:t>
      </w:r>
      <w:r>
        <w:rPr>
          <w:rFonts w:ascii="Times New Roman;serif" w:hAnsi="Times New Roman;serif"/>
          <w:b w:val="false"/>
          <w:i/>
          <w:color w:val="231F20"/>
          <w:sz w:val="20"/>
        </w:rPr>
        <w:t>income</w:t>
      </w:r>
    </w:p>
    <w:p>
      <w:pPr>
        <w:pStyle w:val="TextBody"/>
        <w:bidi w:val="0"/>
        <w:spacing w:lineRule="auto" w:line="240" w:before="100" w:after="100"/>
        <w:jc w:val="both"/>
        <w:rPr/>
      </w:pPr>
      <w:r>
        <w:rPr>
          <w:rFonts w:ascii="Times New Roman;serif" w:hAnsi="Times New Roman;serif"/>
          <w:b w:val="false"/>
          <w:color w:val="000000"/>
          <w:sz w:val="20"/>
        </w:rPr>
        <w:t>Interest income for the six months ended June 30, 2026 and 2025 was $8.7 million and $9.7 million, respectively. The decrease was primarily due to</w:t>
      </w:r>
      <w:r>
        <w:rPr>
          <w:color w:val="000000"/>
          <w:shd w:fill="FFFFFF" w:val="clear"/>
        </w:rPr>
        <w:t xml:space="preserve"> </w:t>
      </w:r>
      <w:r>
        <w:rPr>
          <w:rFonts w:ascii="Times New Roman;serif" w:hAnsi="Times New Roman;serif"/>
          <w:b w:val="false"/>
          <w:color w:val="000000"/>
          <w:sz w:val="20"/>
          <w:shd w:fill="FFFFFF" w:val="clear"/>
        </w:rPr>
        <w:t>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Liquidity</w:t>
      </w:r>
      <w:r>
        <w:rPr>
          <w:color w:val="231F20"/>
        </w:rPr>
        <w:t xml:space="preserve"> </w:t>
      </w:r>
      <w:r>
        <w:rPr>
          <w:rFonts w:ascii="Times New Roman;serif" w:hAnsi="Times New Roman;serif"/>
          <w:b/>
          <w:color w:val="231F20"/>
          <w:sz w:val="20"/>
        </w:rPr>
        <w:t>and Capital</w:t>
      </w:r>
      <w:r>
        <w:rPr>
          <w:color w:val="231F20"/>
        </w:rPr>
        <w:t xml:space="preserve"> </w:t>
      </w:r>
      <w:r>
        <w:rPr>
          <w:rFonts w:ascii="Times New Roman;serif" w:hAnsi="Times New Roman;serif"/>
          <w:b/>
          <w:color w:val="231F20"/>
          <w:sz w:val="20"/>
        </w:rPr>
        <w:t>Resources</w:t>
      </w:r>
    </w:p>
    <w:p>
      <w:pPr>
        <w:pStyle w:val="TextBody"/>
        <w:bidi w:val="0"/>
        <w:spacing w:lineRule="auto" w:line="288" w:before="200" w:after="283"/>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before="0" w:after="0"/>
        <w:jc w:val="left"/>
        <w:rPr/>
      </w:pPr>
      <w:r>
        <w:rPr/>
      </w:r>
    </w:p>
    <w:p>
      <w:pPr>
        <w:pStyle w:val="TextBody"/>
        <w:bidi w:val="0"/>
        <w:spacing w:lineRule="auto" w:line="319" w:before="0" w:after="200"/>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inception</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December</w:t>
      </w:r>
      <w:r>
        <w:rPr>
          <w:color w:val="231F20"/>
        </w:rPr>
        <w:t xml:space="preserve"> </w:t>
      </w:r>
      <w:r>
        <w:rPr>
          <w:rFonts w:ascii="Times New Roman;serif" w:hAnsi="Times New Roman;serif"/>
          <w:b w:val="false"/>
          <w:color w:val="231F20"/>
          <w:sz w:val="20"/>
        </w:rPr>
        <w:t>2018, we have not generated</w:t>
      </w:r>
      <w:r>
        <w:rPr>
          <w:color w:val="231F20"/>
        </w:rPr>
        <w:t xml:space="preserve"> </w:t>
      </w:r>
      <w:r>
        <w:rPr>
          <w:rFonts w:ascii="Times New Roman;serif" w:hAnsi="Times New Roman;serif"/>
          <w:b w:val="false"/>
          <w:color w:val="231F20"/>
          <w:sz w:val="20"/>
        </w:rPr>
        <w:t>any revenue</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any sources</w:t>
      </w:r>
      <w:r>
        <w:rPr>
          <w:color w:val="231F20"/>
        </w:rPr>
        <w:t xml:space="preserve"> </w:t>
      </w:r>
      <w:r>
        <w:rPr>
          <w:rFonts w:ascii="Times New Roman;serif" w:hAnsi="Times New Roman;serif"/>
          <w:b w:val="false"/>
          <w:color w:val="231F20"/>
          <w:sz w:val="20"/>
        </w:rPr>
        <w:t>and have incurred</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losses</w:t>
      </w:r>
      <w:r>
        <w:rPr>
          <w:color w:val="231F20"/>
        </w:rPr>
        <w:t xml:space="preserve"> </w:t>
      </w:r>
      <w:r>
        <w:rPr>
          <w:rFonts w:ascii="Times New Roman;serif" w:hAnsi="Times New Roman;serif"/>
          <w:b w:val="false"/>
          <w:color w:val="231F20"/>
          <w:sz w:val="20"/>
        </w:rPr>
        <w:t>and negative</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flows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incur</w:t>
      </w:r>
      <w:r>
        <w:rPr>
          <w:color w:val="231F20"/>
        </w:rPr>
        <w:t xml:space="preserve"> </w:t>
      </w:r>
      <w:r>
        <w:rPr>
          <w:rFonts w:ascii="Times New Roman;serif" w:hAnsi="Times New Roman;serif"/>
          <w:b w:val="false"/>
          <w:color w:val="231F20"/>
          <w:sz w:val="20"/>
        </w:rPr>
        <w:t>significant expenses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losses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foreseeable</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as we advance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of ficerafusp</w:t>
      </w:r>
      <w:r>
        <w:rPr>
          <w:color w:val="231F20"/>
        </w:rPr>
        <w:t xml:space="preserve"> </w:t>
      </w:r>
      <w:r>
        <w:rPr>
          <w:rFonts w:ascii="Times New Roman;serif" w:hAnsi="Times New Roman;serif"/>
          <w:b w:val="false"/>
          <w:color w:val="231F20"/>
          <w:sz w:val="20"/>
        </w:rPr>
        <w:t>alfa or</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elect</w:t>
      </w:r>
      <w:r>
        <w:rPr>
          <w:color w:val="231F20"/>
        </w:rPr>
        <w:t xml:space="preserve"> </w:t>
      </w:r>
      <w:r>
        <w:rPr>
          <w:rFonts w:ascii="Times New Roman;serif" w:hAnsi="Times New Roman;serif"/>
          <w:b w:val="false"/>
          <w:color w:val="231F20"/>
          <w:sz w:val="20"/>
        </w:rPr>
        <w:t>to pursue.</w:t>
      </w:r>
      <w:r>
        <w:rPr>
          <w:color w:val="231F20"/>
        </w:rPr>
        <w:t xml:space="preserve"> </w:t>
      </w:r>
      <w:r>
        <w:rPr>
          <w:rFonts w:ascii="Times New Roman;serif" w:hAnsi="Times New Roman;serif"/>
          <w:b w:val="false"/>
          <w:color w:val="231F20"/>
          <w:sz w:val="20"/>
        </w:rPr>
        <w:t xml:space="preserve">Further, we expect to incur additional costs associated with operating as a public company. </w:t>
      </w:r>
      <w:r>
        <w:rPr>
          <w:rFonts w:ascii="Times New Roman;serif" w:hAnsi="Times New Roman;serif"/>
          <w:b w:val="false"/>
          <w:color w:val="231F20"/>
          <w:sz w:val="20"/>
          <w:shd w:fill="FFFFFF" w:val="clear"/>
        </w:rPr>
        <w:t>From</w:t>
      </w:r>
      <w:r>
        <w:rPr>
          <w:color w:val="231F20"/>
          <w:shd w:fill="FFFFFF" w:val="clear"/>
        </w:rPr>
        <w:t xml:space="preserve"> </w:t>
      </w:r>
      <w:r>
        <w:rPr>
          <w:rFonts w:ascii="Times New Roman;serif" w:hAnsi="Times New Roman;serif"/>
          <w:b w:val="false"/>
          <w:color w:val="231F20"/>
          <w:sz w:val="20"/>
          <w:shd w:fill="FFFFFF" w:val="clear"/>
        </w:rPr>
        <w:t>our inception</w:t>
      </w:r>
      <w:r>
        <w:rPr>
          <w:color w:val="231F20"/>
          <w:shd w:fill="FFFFFF" w:val="clear"/>
        </w:rPr>
        <w:t xml:space="preserve"> </w:t>
      </w:r>
      <w:r>
        <w:rPr>
          <w:rFonts w:ascii="Times New Roman;serif" w:hAnsi="Times New Roman;serif"/>
          <w:b w:val="false"/>
          <w:color w:val="231F20"/>
          <w:sz w:val="20"/>
          <w:shd w:fill="FFFFFF" w:val="clear"/>
        </w:rPr>
        <w:t>in December</w:t>
      </w:r>
      <w:r>
        <w:rPr>
          <w:color w:val="231F20"/>
          <w:shd w:fill="FFFFFF" w:val="clear"/>
        </w:rPr>
        <w:t xml:space="preserve"> </w:t>
      </w:r>
      <w:r>
        <w:rPr>
          <w:rFonts w:ascii="Times New Roman;serif" w:hAnsi="Times New Roman;serif"/>
          <w:b w:val="false"/>
          <w:color w:val="231F20"/>
          <w:sz w:val="20"/>
          <w:shd w:fill="FFFFFF" w:val="clear"/>
        </w:rPr>
        <w:t>2018 through</w:t>
      </w:r>
      <w:r>
        <w:rPr>
          <w:color w:val="231F20"/>
          <w:shd w:fill="FFFFFF" w:val="clear"/>
        </w:rPr>
        <w:t xml:space="preserve"> </w:t>
      </w:r>
      <w:r>
        <w:rPr>
          <w:rFonts w:ascii="Times New Roman;serif" w:hAnsi="Times New Roman;serif"/>
          <w:b w:val="false"/>
          <w:color w:val="231F20"/>
          <w:sz w:val="20"/>
          <w:shd w:fill="FFFFFF" w:val="clear"/>
        </w:rPr>
        <w:t>June 30</w:t>
      </w:r>
      <w:r>
        <w:rPr>
          <w:rFonts w:ascii="Times New Roman;serif" w:hAnsi="Times New Roman;serif"/>
          <w:b w:val="false"/>
          <w:color w:val="000000"/>
          <w:sz w:val="20"/>
        </w:rPr>
        <w:t>, 2026</w:t>
      </w:r>
      <w:r>
        <w:rPr>
          <w:rFonts w:ascii="Times New Roman;serif" w:hAnsi="Times New Roman;serif"/>
          <w:b w:val="false"/>
          <w:color w:val="231F20"/>
          <w:sz w:val="20"/>
          <w:shd w:fill="FFFFFF" w:val="clear"/>
        </w:rPr>
        <w:t>,</w:t>
      </w:r>
      <w:r>
        <w:rPr>
          <w:color w:val="231F20"/>
          <w:shd w:fill="FFFFFF" w:val="clear"/>
        </w:rPr>
        <w:t xml:space="preserve"> </w:t>
      </w:r>
      <w:r>
        <w:rPr>
          <w:rFonts w:ascii="Times New Roman;serif" w:hAnsi="Times New Roman;serif"/>
          <w:b w:val="false"/>
          <w:color w:val="231F20"/>
          <w:sz w:val="20"/>
          <w:shd w:fill="FFFFFF" w:val="clear"/>
        </w:rPr>
        <w:t>we</w:t>
      </w:r>
      <w:r>
        <w:rPr>
          <w:color w:val="231F20"/>
          <w:shd w:fill="FFFFFF" w:val="clear"/>
        </w:rPr>
        <w:t xml:space="preserve"> </w:t>
      </w:r>
      <w:r>
        <w:rPr>
          <w:rFonts w:ascii="Times New Roman;serif" w:hAnsi="Times New Roman;serif"/>
          <w:b w:val="false"/>
          <w:color w:val="231F20"/>
          <w:sz w:val="20"/>
          <w:shd w:fill="FFFFFF" w:val="clear"/>
        </w:rPr>
        <w:t>have</w:t>
      </w:r>
      <w:r>
        <w:rPr>
          <w:color w:val="231F20"/>
          <w:shd w:fill="FFFFFF" w:val="clear"/>
        </w:rPr>
        <w:t xml:space="preserve"> </w:t>
      </w:r>
      <w:r>
        <w:rPr>
          <w:rFonts w:ascii="Times New Roman;serif" w:hAnsi="Times New Roman;serif"/>
          <w:b w:val="false"/>
          <w:color w:val="231F20"/>
          <w:sz w:val="20"/>
          <w:shd w:fill="FFFFFF" w:val="clear"/>
        </w:rPr>
        <w:t>received</w:t>
      </w:r>
      <w:r>
        <w:rPr>
          <w:color w:val="231F20"/>
          <w:shd w:fill="FFFFFF" w:val="clear"/>
        </w:rPr>
        <w:t xml:space="preserve"> </w:t>
      </w:r>
      <w:r>
        <w:rPr>
          <w:rFonts w:ascii="Times New Roman;serif" w:hAnsi="Times New Roman;serif"/>
          <w:b w:val="false"/>
          <w:color w:val="231F20"/>
          <w:sz w:val="20"/>
          <w:shd w:fill="FFFFFF" w:val="clear"/>
        </w:rPr>
        <w:t>aggregate net</w:t>
      </w:r>
      <w:r>
        <w:rPr>
          <w:color w:val="231F20"/>
          <w:shd w:fill="FFFFFF" w:val="clear"/>
        </w:rPr>
        <w:t xml:space="preserve"> </w:t>
      </w:r>
      <w:r>
        <w:rPr>
          <w:rFonts w:ascii="Times New Roman;serif" w:hAnsi="Times New Roman;serif"/>
          <w:b w:val="false"/>
          <w:color w:val="231F20"/>
          <w:sz w:val="20"/>
          <w:shd w:fill="FFFFFF" w:val="clear"/>
        </w:rPr>
        <w:t>proceeds</w:t>
      </w:r>
      <w:r>
        <w:rPr>
          <w:color w:val="231F20"/>
          <w:shd w:fill="FFFFFF" w:val="clear"/>
        </w:rPr>
        <w:t xml:space="preserve"> </w:t>
      </w:r>
      <w:r>
        <w:rPr>
          <w:rFonts w:ascii="Times New Roman;serif" w:hAnsi="Times New Roman;serif"/>
          <w:b w:val="false"/>
          <w:color w:val="231F20"/>
          <w:sz w:val="20"/>
          <w:shd w:fill="FFFFFF" w:val="clear"/>
        </w:rPr>
        <w:t>of</w:t>
      </w:r>
      <w:r>
        <w:rPr>
          <w:color w:val="231F20"/>
          <w:shd w:fill="FFFFFF" w:val="clear"/>
        </w:rPr>
        <w:t xml:space="preserve"> </w:t>
      </w:r>
      <w:r>
        <w:rPr>
          <w:rFonts w:ascii="Times New Roman;serif" w:hAnsi="Times New Roman;serif"/>
          <w:b w:val="false"/>
          <w:color w:val="000000"/>
          <w:sz w:val="20"/>
        </w:rPr>
        <w:t>$885.3</w:t>
      </w:r>
      <w:r>
        <w:rPr>
          <w:color w:val="231F20"/>
          <w:shd w:fill="FFFFFF" w:val="clear"/>
        </w:rPr>
        <w:t xml:space="preserve"> </w:t>
      </w:r>
      <w:r>
        <w:rPr>
          <w:rFonts w:ascii="Times New Roman;serif" w:hAnsi="Times New Roman;serif"/>
          <w:b w:val="false"/>
          <w:color w:val="231F20"/>
          <w:sz w:val="20"/>
          <w:shd w:fill="FFFFFF" w:val="clear"/>
        </w:rPr>
        <w:t>million</w:t>
      </w:r>
      <w:r>
        <w:rPr>
          <w:color w:val="231F20"/>
          <w:shd w:fill="FFFFFF" w:val="clear"/>
        </w:rPr>
        <w:t xml:space="preserve"> </w:t>
      </w:r>
      <w:r>
        <w:rPr>
          <w:rFonts w:ascii="Times New Roman;serif" w:hAnsi="Times New Roman;serif"/>
          <w:b w:val="false"/>
          <w:color w:val="231F20"/>
          <w:sz w:val="20"/>
          <w:shd w:fill="FFFFFF" w:val="clear"/>
        </w:rPr>
        <w:t>fr</w:t>
      </w:r>
      <w:r>
        <w:rPr>
          <w:rFonts w:ascii="Times New Roman;serif" w:hAnsi="Times New Roman;serif"/>
          <w:b w:val="false"/>
          <w:color w:val="231F20"/>
          <w:sz w:val="20"/>
        </w:rPr>
        <w:t>om</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sale</w:t>
      </w:r>
      <w:r>
        <w:rPr>
          <w:color w:val="231F20"/>
        </w:rPr>
        <w:t xml:space="preserve"> </w:t>
      </w:r>
      <w:r>
        <w:rPr>
          <w:rFonts w:ascii="Times New Roman;serif" w:hAnsi="Times New Roman;serif"/>
          <w:b w:val="false"/>
          <w:color w:val="231F20"/>
          <w:sz w:val="20"/>
        </w:rPr>
        <w:t>of our common stock in the IPO, ATM Program and the February 2026 Offering, the exercise of stock options, and sale of redeemable</w:t>
      </w:r>
      <w:r>
        <w:rPr>
          <w:color w:val="231F20"/>
        </w:rPr>
        <w:t xml:space="preserve"> </w:t>
      </w:r>
      <w:r>
        <w:rPr>
          <w:rFonts w:ascii="Times New Roman;serif" w:hAnsi="Times New Roman;serif"/>
          <w:b w:val="false"/>
          <w:color w:val="231F20"/>
          <w:sz w:val="20"/>
        </w:rPr>
        <w:t>convertible</w:t>
      </w:r>
      <w:r>
        <w:rPr>
          <w:color w:val="231F20"/>
        </w:rPr>
        <w:t xml:space="preserve"> </w:t>
      </w:r>
      <w:r>
        <w:rPr>
          <w:rFonts w:ascii="Times New Roman;serif" w:hAnsi="Times New Roman;serif"/>
          <w:b w:val="false"/>
          <w:color w:val="231F20"/>
          <w:sz w:val="20"/>
        </w:rPr>
        <w:t>preferred</w:t>
      </w:r>
      <w:r>
        <w:rPr>
          <w:color w:val="231F20"/>
        </w:rPr>
        <w:t xml:space="preserve"> </w:t>
      </w:r>
      <w:r>
        <w:rPr>
          <w:rFonts w:ascii="Times New Roman;serif" w:hAnsi="Times New Roman;serif"/>
          <w:b w:val="false"/>
          <w:color w:val="231F20"/>
          <w:sz w:val="20"/>
        </w:rPr>
        <w:t>stock</w:t>
      </w:r>
      <w:r>
        <w:rPr>
          <w:color w:val="231F20"/>
        </w:rPr>
        <w:t xml:space="preserve"> </w:t>
      </w:r>
      <w:r>
        <w:rPr>
          <w:rFonts w:ascii="Times New Roman;serif" w:hAnsi="Times New Roman;serif"/>
          <w:b w:val="false"/>
          <w:color w:val="231F20"/>
          <w:sz w:val="20"/>
        </w:rPr>
        <w:t>in private</w:t>
      </w:r>
      <w:r>
        <w:rPr>
          <w:color w:val="231F20"/>
        </w:rPr>
        <w:t xml:space="preserve"> </w:t>
      </w:r>
      <w:r>
        <w:rPr>
          <w:rFonts w:ascii="Times New Roman;serif" w:hAnsi="Times New Roman;serif"/>
          <w:b w:val="false"/>
          <w:color w:val="231F20"/>
          <w:sz w:val="20"/>
        </w:rPr>
        <w:t>placements and debt</w:t>
      </w:r>
      <w:r>
        <w:rPr>
          <w:color w:val="231F20"/>
        </w:rPr>
        <w:t xml:space="preserve"> </w:t>
      </w:r>
      <w:r>
        <w:rPr>
          <w:rFonts w:ascii="Times New Roman;serif" w:hAnsi="Times New Roman;serif"/>
          <w:b w:val="false"/>
          <w:color w:val="231F20"/>
          <w:sz w:val="20"/>
        </w:rPr>
        <w:t>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At-the-Market”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 2025, we filed a Registration Statement on Form S-3 with the SEC covering the offering of up to $400.0 million of common stock, preferred stock, debt securities, warrants and/or units. The Registration Statement was declared effective by the SEC on November 26, 2025. Concurrent with the filing of the Registration Statement, we entered into a sales agreement, dated October 3, 2025, by and between the Company and TD Securities (USA) LLC, acting as sales agent, to establish an at-the-market offering program pursuant to which we may offer and sell shares of our common stock from time to time, or the ATM Program. In connection with the ATM Program, we filed a prospectus with the Registration Statement for the offer and sale of up to $150.0 million of shares of common stock from time to time through the sales agent. As market conditions permit, we may offer and sell securities under the Registration Statement, including through the ATM Program, in order to fund our operations or provide additional liquidity. During the three and six months ended June 30, 2026, there were no sales of our common stock through the ATM Program. As of June 30, 2026, a total of 1,604,000 shares of our common stock had been sold through the ATM Program, resulting in net proceeds to us of $29.5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February 2026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we issued and sold 8,581,250 shares of its common stock, including 1,406,250 shares pursuant to the exercise of the underwriters’ option to purchase additional shares, at a price to the public of $16.00 per share, and in lieu of common stock to certain investors, we sold pre-funded warrants to purchase 2,200,000 shares of common stock at a public offering price of $15.9999 per pre-funded warrant, which represents the per share public offering price of each share of common stock less the $0.0001 per share exercise price for each pre-funded warrant, or the February 2026 Offering. The February 2026 Offering closed on February 26, 2026 and resulted in net proceeds to us of approximately $161.8 million.</w:t>
      </w:r>
    </w:p>
    <w:p>
      <w:pPr>
        <w:pStyle w:val="TextBody"/>
        <w:bidi w:val="0"/>
        <w:spacing w:lineRule="auto" w:line="288" w:before="200" w:after="283"/>
        <w:jc w:val="left"/>
        <w:rPr/>
      </w:pPr>
      <w:r>
        <w:rPr>
          <w:rFonts w:ascii="Times New Roman;serif" w:hAnsi="Times New Roman;serif"/>
          <w:b/>
          <w:i/>
          <w:color w:val="231F20"/>
          <w:sz w:val="20"/>
        </w:rPr>
        <w:t>Future Funding</w:t>
      </w:r>
      <w:r>
        <w:rPr>
          <w:color w:val="231F20"/>
        </w:rPr>
        <w:t xml:space="preserve"> </w:t>
      </w:r>
      <w:r>
        <w:rPr>
          <w:rFonts w:ascii="Times New Roman;serif" w:hAnsi="Times New Roman;serif"/>
          <w:b/>
          <w:i/>
          <w:color w:val="231F20"/>
          <w:sz w:val="20"/>
        </w:rPr>
        <w:t>Requirements</w:t>
      </w:r>
    </w:p>
    <w:p>
      <w:pPr>
        <w:pStyle w:val="TextBody"/>
        <w:bidi w:val="0"/>
        <w:spacing w:before="0" w:after="200"/>
        <w:jc w:val="left"/>
        <w:rPr/>
      </w:pPr>
      <w:r>
        <w:rPr/>
      </w:r>
    </w:p>
    <w:p>
      <w:pPr>
        <w:pStyle w:val="TextBody"/>
        <w:bidi w:val="0"/>
        <w:spacing w:lineRule="auto" w:line="288" w:before="0" w:after="200"/>
        <w:jc w:val="both"/>
        <w:rPr/>
      </w:pP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June 30, 2026,</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had</w:t>
      </w:r>
      <w:r>
        <w:rPr>
          <w:color w:val="231F20"/>
        </w:rPr>
        <w:t xml:space="preserve"> </w:t>
      </w:r>
      <w:r>
        <w:rPr>
          <w:rFonts w:ascii="Times New Roman;serif" w:hAnsi="Times New Roman;serif"/>
          <w:b w:val="false"/>
          <w:color w:val="231F20"/>
          <w:sz w:val="20"/>
        </w:rPr>
        <w:t>cash, cash</w:t>
      </w:r>
      <w:r>
        <w:rPr>
          <w:color w:val="231F20"/>
        </w:rPr>
        <w:t xml:space="preserve"> </w:t>
      </w:r>
      <w:r>
        <w:rPr>
          <w:rFonts w:ascii="Times New Roman;serif" w:hAnsi="Times New Roman;serif"/>
          <w:b w:val="false"/>
          <w:color w:val="231F20"/>
          <w:sz w:val="20"/>
        </w:rPr>
        <w:t>equivalents</w:t>
      </w:r>
      <w:r>
        <w:rPr>
          <w:color w:val="231F20"/>
        </w:rPr>
        <w:t xml:space="preserve"> </w:t>
      </w:r>
      <w:r>
        <w:rPr>
          <w:rFonts w:ascii="Times New Roman;serif" w:hAnsi="Times New Roman;serif"/>
          <w:b w:val="false"/>
          <w:color w:val="231F20"/>
          <w:sz w:val="20"/>
        </w:rPr>
        <w:t xml:space="preserve">and marketable securities of </w:t>
      </w:r>
      <w:r>
        <w:rPr>
          <w:rFonts w:ascii="Times New Roman;serif" w:hAnsi="Times New Roman;serif"/>
          <w:b w:val="false"/>
          <w:color w:val="000000"/>
          <w:sz w:val="20"/>
        </w:rPr>
        <w:t>$497.3 million</w:t>
      </w:r>
      <w:r>
        <w:rPr>
          <w:rFonts w:ascii="Times New Roman;serif" w:hAnsi="Times New Roman;serif"/>
          <w:b w:val="false"/>
          <w:color w:val="231F20"/>
          <w:sz w:val="20"/>
        </w:rPr>
        <w:t>. Based upon our current operating</w:t>
      </w:r>
      <w:r>
        <w:rPr>
          <w:color w:val="231F20"/>
        </w:rPr>
        <w:t xml:space="preserve"> </w:t>
      </w:r>
      <w:r>
        <w:rPr>
          <w:rFonts w:ascii="Times New Roman;serif" w:hAnsi="Times New Roman;serif"/>
          <w:b w:val="false"/>
          <w:color w:val="231F20"/>
          <w:sz w:val="20"/>
        </w:rPr>
        <w:t>plans,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believe that our existing cash, cash equivalents and marketable securities 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sufficient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operations and capital expenditure requirements</w:t>
      </w:r>
      <w:r>
        <w:rPr>
          <w:color w:val="231F20"/>
        </w:rPr>
        <w:t xml:space="preserve"> </w:t>
      </w:r>
      <w:r>
        <w:rPr>
          <w:rFonts w:ascii="Times New Roman;serif" w:hAnsi="Times New Roman;serif"/>
          <w:b w:val="false"/>
          <w:color w:val="231F20"/>
          <w:sz w:val="20"/>
        </w:rPr>
        <w:t>into the first half of 2029. However,</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forecast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period</w:t>
      </w:r>
      <w:r>
        <w:rPr>
          <w:color w:val="231F20"/>
        </w:rPr>
        <w:t xml:space="preserve"> </w:t>
      </w:r>
      <w:r>
        <w:rPr>
          <w:rFonts w:ascii="Times New Roman;serif" w:hAnsi="Times New Roman;serif"/>
          <w:b w:val="false"/>
          <w:color w:val="231F20"/>
          <w:sz w:val="20"/>
        </w:rPr>
        <w:t>of time</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resources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adequate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support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a forward-looking statement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involves</w:t>
      </w:r>
      <w:r>
        <w:rPr>
          <w:color w:val="231F20"/>
        </w:rPr>
        <w:t xml:space="preserve"> </w:t>
      </w:r>
      <w:r>
        <w:rPr>
          <w:rFonts w:ascii="Times New Roman;serif" w:hAnsi="Times New Roman;serif"/>
          <w:b w:val="false"/>
          <w:color w:val="231F20"/>
          <w:sz w:val="20"/>
        </w:rPr>
        <w:t>risks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uncertainties,</w:t>
      </w:r>
      <w:r>
        <w:rPr>
          <w:color w:val="231F20"/>
        </w:rPr>
        <w:t xml:space="preserve"> </w:t>
      </w:r>
      <w:r>
        <w:rPr>
          <w:rFonts w:ascii="Times New Roman;serif" w:hAnsi="Times New Roman;serif"/>
          <w:b w:val="false"/>
          <w:color w:val="231F20"/>
          <w:sz w:val="20"/>
        </w:rPr>
        <w:t>and actual</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materially.</w:t>
      </w:r>
      <w:r>
        <w:rPr>
          <w:color w:val="231F20"/>
        </w:rPr>
        <w:t xml:space="preserve"> </w:t>
      </w:r>
      <w:r>
        <w:rPr>
          <w:rFonts w:ascii="Times New Roman;serif" w:hAnsi="Times New Roman;serif"/>
          <w:b w:val="false"/>
          <w:color w:val="231F20"/>
          <w:sz w:val="20"/>
        </w:rPr>
        <w:t>Additionally,</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process of</w:t>
      </w:r>
      <w:r>
        <w:rPr>
          <w:color w:val="231F20"/>
        </w:rPr>
        <w:t xml:space="preserve"> </w:t>
      </w:r>
      <w:r>
        <w:rPr>
          <w:rFonts w:ascii="Times New Roman;serif" w:hAnsi="Times New Roman;serif"/>
          <w:b w:val="false"/>
          <w:color w:val="231F20"/>
          <w:sz w:val="20"/>
        </w:rPr>
        <w:t>testing</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costly,</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timing</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progress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trials is</w:t>
      </w:r>
      <w:r>
        <w:rPr>
          <w:color w:val="231F20"/>
        </w:rPr>
        <w:t xml:space="preserve"> </w:t>
      </w:r>
      <w:r>
        <w:rPr>
          <w:rFonts w:ascii="Times New Roman;serif" w:hAnsi="Times New Roman;serif"/>
          <w:b w:val="false"/>
          <w:color w:val="231F20"/>
          <w:sz w:val="20"/>
        </w:rPr>
        <w:t>uncertain.</w:t>
      </w:r>
      <w:r>
        <w:rPr>
          <w:color w:val="231F20"/>
        </w:rPr>
        <w:t xml:space="preserve"> </w:t>
      </w:r>
      <w:r>
        <w:rPr>
          <w:rFonts w:ascii="Times New Roman;serif" w:hAnsi="Times New Roman;serif"/>
          <w:b w:val="false"/>
          <w:color w:val="231F20"/>
          <w:sz w:val="20"/>
        </w:rPr>
        <w:t>We will</w:t>
      </w:r>
      <w:r>
        <w:rPr>
          <w:color w:val="231F20"/>
        </w:rPr>
        <w:t xml:space="preserve"> </w:t>
      </w:r>
      <w:r>
        <w:rPr>
          <w:rFonts w:ascii="Times New Roman;serif" w:hAnsi="Times New Roman;serif"/>
          <w:b w:val="false"/>
          <w:color w:val="231F20"/>
          <w:sz w:val="20"/>
        </w:rPr>
        <w:t>need to raise</w:t>
      </w:r>
      <w:r>
        <w:rPr>
          <w:color w:val="231F20"/>
        </w:rPr>
        <w:t xml:space="preserve"> </w:t>
      </w:r>
      <w:r>
        <w:rPr>
          <w:rFonts w:ascii="Times New Roman;serif" w:hAnsi="Times New Roman;serif"/>
          <w:b w:val="false"/>
          <w:color w:val="231F20"/>
          <w:sz w:val="20"/>
        </w:rPr>
        <w:t>substantial</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future.</w:t>
      </w:r>
    </w:p>
    <w:p>
      <w:pPr>
        <w:pStyle w:val="TextBody"/>
        <w:bidi w:val="0"/>
        <w:spacing w:lineRule="auto" w:line="288" w:before="240" w:after="283"/>
        <w:jc w:val="both"/>
        <w:rPr/>
      </w:pPr>
      <w:r>
        <w:rPr>
          <w:rFonts w:ascii="Times New Roman;serif" w:hAnsi="Times New Roman;serif"/>
          <w:b w:val="false"/>
          <w:color w:val="231F20"/>
          <w:sz w:val="20"/>
        </w:rPr>
        <w:t>Our future</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depend on many</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but not limited</w:t>
      </w:r>
      <w:r>
        <w:rPr>
          <w:color w:val="231F20"/>
        </w:rPr>
        <w:t xml:space="preserve"> </w:t>
      </w:r>
      <w:r>
        <w:rPr>
          <w:rFonts w:ascii="Times New Roman;serif" w:hAnsi="Times New Roman;serif"/>
          <w:b w:val="false"/>
          <w:color w:val="231F20"/>
          <w:sz w:val="20"/>
        </w:rPr>
        <w:t>to:</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type,</w:t>
      </w:r>
      <w:r>
        <w:rPr>
          <w:color w:val="231F20"/>
        </w:rPr>
        <w:t xml:space="preserve"> </w:t>
      </w:r>
      <w:r>
        <w:rPr>
          <w:rFonts w:ascii="Times New Roman;serif" w:hAnsi="Times New Roman;serif"/>
          <w:b w:val="false"/>
          <w:color w:val="231F20"/>
          <w:sz w:val="20"/>
        </w:rPr>
        <w:t>number,</w:t>
      </w:r>
      <w:r>
        <w:rPr>
          <w:color w:val="231F20"/>
        </w:rPr>
        <w:t xml:space="preserve"> </w:t>
      </w:r>
      <w:r>
        <w:rPr>
          <w:rFonts w:ascii="Times New Roman;serif" w:hAnsi="Times New Roman;serif"/>
          <w:b w:val="false"/>
          <w:color w:val="231F20"/>
          <w:sz w:val="20"/>
        </w:rPr>
        <w:t>scope,</w:t>
      </w:r>
      <w:r>
        <w:rPr>
          <w:color w:val="231F20"/>
        </w:rPr>
        <w:t xml:space="preserve"> </w:t>
      </w:r>
      <w:r>
        <w:rPr>
          <w:rFonts w:ascii="Times New Roman;serif" w:hAnsi="Times New Roman;serif"/>
          <w:b w:val="false"/>
          <w:color w:val="231F20"/>
          <w:sz w:val="20"/>
        </w:rPr>
        <w:t>progress,</w:t>
      </w:r>
      <w:r>
        <w:rPr>
          <w:color w:val="231F20"/>
        </w:rPr>
        <w:t xml:space="preserve"> </w:t>
      </w:r>
      <w:r>
        <w:rPr>
          <w:rFonts w:ascii="Times New Roman;serif" w:hAnsi="Times New Roman;serif"/>
          <w:b w:val="false"/>
          <w:color w:val="231F20"/>
          <w:sz w:val="20"/>
        </w:rPr>
        <w:t>expansions,</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timing</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clinical</w:t>
      </w:r>
      <w:r>
        <w:rPr>
          <w:color w:val="231F20"/>
        </w:rPr>
        <w:t xml:space="preserve"> </w:t>
      </w:r>
      <w:r>
        <w:rPr>
          <w:rFonts w:ascii="Times New Roman;serif" w:hAnsi="Times New Roman;serif"/>
          <w:b w:val="false"/>
          <w:color w:val="231F20"/>
          <w:sz w:val="20"/>
        </w:rPr>
        <w:t>trials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ficerafusp alfa</w:t>
      </w:r>
      <w:r>
        <w:rPr>
          <w:color w:val="231F20"/>
        </w:rPr>
        <w:t xml:space="preserve"> </w:t>
      </w:r>
      <w:r>
        <w:rPr>
          <w:rFonts w:ascii="Times New Roman;serif" w:hAnsi="Times New Roman;serif"/>
          <w:b w:val="false"/>
          <w:color w:val="231F20"/>
          <w:sz w:val="20"/>
        </w:rPr>
        <w:t>and 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costs and</w:t>
      </w:r>
      <w:r>
        <w:rPr>
          <w:color w:val="231F20"/>
        </w:rPr>
        <w:t xml:space="preserve"> </w:t>
      </w:r>
      <w:r>
        <w:rPr>
          <w:rFonts w:ascii="Times New Roman;serif" w:hAnsi="Times New Roman;serif"/>
          <w:b w:val="false"/>
          <w:color w:val="231F20"/>
          <w:sz w:val="20"/>
        </w:rPr>
        <w:t>timing of</w:t>
      </w:r>
      <w:r>
        <w:rPr>
          <w:color w:val="231F20"/>
        </w:rPr>
        <w:t xml:space="preserve"> </w:t>
      </w:r>
      <w:r>
        <w:rPr>
          <w:rFonts w:ascii="Times New Roman;serif" w:hAnsi="Times New Roman;serif"/>
          <w:b w:val="false"/>
          <w:color w:val="231F20"/>
          <w:sz w:val="20"/>
        </w:rPr>
        <w:t>manufacturing</w:t>
      </w:r>
      <w:r>
        <w:rPr>
          <w:color w:val="231F20"/>
        </w:rPr>
        <w:t xml:space="preserve"> </w:t>
      </w:r>
      <w:r>
        <w:rPr>
          <w:rFonts w:ascii="Times New Roman;serif" w:hAnsi="Times New Roman;serif"/>
          <w:b w:val="false"/>
          <w:color w:val="231F20"/>
          <w:sz w:val="20"/>
        </w:rPr>
        <w:t>for ficerafusp</w:t>
      </w:r>
      <w:r>
        <w:rPr>
          <w:color w:val="231F20"/>
        </w:rPr>
        <w:t xml:space="preserve"> </w:t>
      </w:r>
      <w:r>
        <w:rPr>
          <w:rFonts w:ascii="Times New Roman;serif" w:hAnsi="Times New Roman;serif"/>
          <w:b w:val="false"/>
          <w:color w:val="231F20"/>
          <w:sz w:val="20"/>
        </w:rPr>
        <w:t>alfa and</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future product</w:t>
      </w:r>
      <w:r>
        <w:rPr>
          <w:color w:val="231F20"/>
        </w:rPr>
        <w:t xml:space="preserve"> </w:t>
      </w:r>
      <w:r>
        <w:rPr>
          <w:rFonts w:ascii="Times New Roman;serif" w:hAnsi="Times New Roman;serif"/>
          <w:b w:val="false"/>
          <w:color w:val="231F20"/>
          <w:sz w:val="20"/>
        </w:rPr>
        <w:t>candidates and commercial</w:t>
      </w:r>
      <w:r>
        <w:rPr>
          <w:color w:val="231F20"/>
        </w:rPr>
        <w:t xml:space="preserve"> </w:t>
      </w:r>
      <w:r>
        <w:rPr>
          <w:rFonts w:ascii="Times New Roman;serif" w:hAnsi="Times New Roman;serif"/>
          <w:b w:val="false"/>
          <w:color w:val="231F20"/>
          <w:sz w:val="20"/>
        </w:rPr>
        <w:t>manufacturing</w:t>
      </w:r>
      <w:r>
        <w:rPr>
          <w:color w:val="231F20"/>
        </w:rPr>
        <w:t xml:space="preserve"> </w:t>
      </w:r>
      <w:r>
        <w:rPr>
          <w:rFonts w:ascii="Times New Roman;serif" w:hAnsi="Times New Roman;serif"/>
          <w:b w:val="false"/>
          <w:color w:val="231F20"/>
          <w:sz w:val="20"/>
        </w:rPr>
        <w:t>thereof;</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 costs, timing,</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outcome</w:t>
      </w:r>
      <w:r>
        <w:rPr>
          <w:color w:val="231F20"/>
        </w:rPr>
        <w:t xml:space="preserve"> </w:t>
      </w:r>
      <w:r>
        <w:rPr>
          <w:rFonts w:ascii="Times New Roman;serif" w:hAnsi="Times New Roman;serif"/>
          <w:b w:val="false"/>
          <w:color w:val="231F20"/>
          <w:sz w:val="20"/>
        </w:rPr>
        <w:t>of regulatory review</w:t>
      </w:r>
      <w:r>
        <w:rPr>
          <w:color w:val="231F20"/>
        </w:rPr>
        <w:t xml:space="preserve"> </w:t>
      </w:r>
      <w:r>
        <w:rPr>
          <w:rFonts w:ascii="Times New Roman;serif" w:hAnsi="Times New Roman;serif"/>
          <w:b w:val="false"/>
          <w:color w:val="231F20"/>
          <w:sz w:val="20"/>
        </w:rPr>
        <w:t>of ficerafusp alfa</w:t>
      </w:r>
      <w:r>
        <w:rPr>
          <w:color w:val="231F20"/>
        </w:rPr>
        <w:t xml:space="preserve"> </w:t>
      </w:r>
      <w:r>
        <w:rPr>
          <w:rFonts w:ascii="Times New Roman;serif" w:hAnsi="Times New Roman;serif"/>
          <w:b w:val="false"/>
          <w:color w:val="231F20"/>
          <w:sz w:val="20"/>
        </w:rPr>
        <w:t>and any</w:t>
      </w:r>
      <w:r>
        <w:rPr>
          <w:color w:val="231F20"/>
        </w:rPr>
        <w:t xml:space="preserve"> </w:t>
      </w:r>
      <w:r>
        <w:rPr>
          <w:rFonts w:ascii="Times New Roman;serif" w:hAnsi="Times New Roman;serif"/>
          <w:b w:val="false"/>
          <w:color w:val="231F20"/>
          <w:sz w:val="20"/>
        </w:rPr>
        <w:t>future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terms</w:t>
      </w:r>
      <w:r>
        <w:rPr>
          <w:color w:val="231F20"/>
        </w:rPr>
        <w:t xml:space="preserve"> </w:t>
      </w:r>
      <w:r>
        <w:rPr>
          <w:rFonts w:ascii="Times New Roman;serif" w:hAnsi="Times New Roman;serif"/>
          <w:b w:val="false"/>
          <w:color w:val="231F20"/>
          <w:sz w:val="20"/>
        </w:rPr>
        <w:t>and timing</w:t>
      </w:r>
      <w:r>
        <w:rPr>
          <w:color w:val="231F20"/>
        </w:rPr>
        <w:t xml:space="preserve"> </w:t>
      </w:r>
      <w:r>
        <w:rPr>
          <w:rFonts w:ascii="Times New Roman;serif" w:hAnsi="Times New Roman;serif"/>
          <w:b w:val="false"/>
          <w:color w:val="231F20"/>
          <w:sz w:val="20"/>
        </w:rPr>
        <w:t>of establishing</w:t>
      </w:r>
      <w:r>
        <w:rPr>
          <w:color w:val="231F20"/>
        </w:rPr>
        <w:t xml:space="preserve"> </w:t>
      </w:r>
      <w:r>
        <w:rPr>
          <w:rFonts w:ascii="Times New Roman;serif" w:hAnsi="Times New Roman;serif"/>
          <w:b w:val="false"/>
          <w:color w:val="231F20"/>
          <w:sz w:val="20"/>
        </w:rPr>
        <w:t>and maintaining</w:t>
      </w:r>
      <w:r>
        <w:rPr>
          <w:color w:val="231F20"/>
        </w:rPr>
        <w:t xml:space="preserve"> </w:t>
      </w:r>
      <w:r>
        <w:rPr>
          <w:rFonts w:ascii="Times New Roman;serif" w:hAnsi="Times New Roman;serif"/>
          <w:b w:val="false"/>
          <w:color w:val="231F20"/>
          <w:sz w:val="20"/>
        </w:rPr>
        <w:t>licenses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similar</w:t>
      </w:r>
      <w:r>
        <w:rPr>
          <w:color w:val="231F20"/>
        </w:rPr>
        <w:t xml:space="preserve"> </w:t>
      </w:r>
      <w:r>
        <w:rPr>
          <w:rFonts w:ascii="Times New Roman;serif" w:hAnsi="Times New Roman;serif"/>
          <w:b w:val="false"/>
          <w:color w:val="231F20"/>
          <w:sz w:val="20"/>
        </w:rPr>
        <w:t>arrangements;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legal</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obtaining,</w:t>
      </w:r>
      <w:r>
        <w:rPr>
          <w:color w:val="231F20"/>
        </w:rPr>
        <w:t xml:space="preserve"> </w:t>
      </w:r>
      <w:r>
        <w:rPr>
          <w:rFonts w:ascii="Times New Roman;serif" w:hAnsi="Times New Roman;serif"/>
          <w:b w:val="false"/>
          <w:color w:val="231F20"/>
          <w:sz w:val="20"/>
        </w:rPr>
        <w:t>maintaining,</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enforcing</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patents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intellectual</w:t>
      </w:r>
      <w:r>
        <w:rPr>
          <w:color w:val="231F20"/>
        </w:rPr>
        <w:t xml:space="preserve"> </w:t>
      </w:r>
      <w:r>
        <w:rPr>
          <w:rFonts w:ascii="Times New Roman;serif" w:hAnsi="Times New Roman;serif"/>
          <w:b w:val="false"/>
          <w:color w:val="231F20"/>
          <w:sz w:val="20"/>
        </w:rPr>
        <w:t>property rights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intellectual</w:t>
      </w:r>
      <w:r>
        <w:rPr>
          <w:color w:val="231F20"/>
        </w:rPr>
        <w:t xml:space="preserve"> </w:t>
      </w:r>
      <w:r>
        <w:rPr>
          <w:rFonts w:ascii="Times New Roman;serif" w:hAnsi="Times New Roman;serif"/>
          <w:b w:val="false"/>
          <w:color w:val="231F20"/>
          <w:sz w:val="20"/>
        </w:rPr>
        <w:t>property</w:t>
      </w:r>
      <w:r>
        <w:rPr>
          <w:color w:val="231F20"/>
        </w:rPr>
        <w:t xml:space="preserve"> </w:t>
      </w:r>
      <w:r>
        <w:rPr>
          <w:rFonts w:ascii="Times New Roman;serif" w:hAnsi="Times New Roman;serif"/>
          <w:b w:val="false"/>
          <w:color w:val="231F20"/>
          <w:sz w:val="20"/>
        </w:rPr>
        <w:t>obtained</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license</w:t>
      </w:r>
      <w:r>
        <w:rPr>
          <w:color w:val="231F20"/>
        </w:rPr>
        <w:t xml:space="preserve"> </w:t>
      </w:r>
      <w:r>
        <w:rPr>
          <w:rFonts w:ascii="Times New Roman;serif" w:hAnsi="Times New Roman;serif"/>
          <w:b w:val="false"/>
          <w:color w:val="231F20"/>
          <w:sz w:val="20"/>
        </w:rPr>
        <w:t>agreements);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efforts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enhance</w:t>
      </w:r>
      <w:r>
        <w:rPr>
          <w:color w:val="231F20"/>
        </w:rPr>
        <w:t xml:space="preserve"> </w:t>
      </w:r>
      <w:r>
        <w:rPr>
          <w:rFonts w:ascii="Times New Roman;serif" w:hAnsi="Times New Roman;serif"/>
          <w:b w:val="false"/>
          <w:color w:val="231F20"/>
          <w:sz w:val="20"/>
        </w:rPr>
        <w:t>operational</w:t>
      </w:r>
      <w:r>
        <w:rPr>
          <w:color w:val="231F20"/>
        </w:rPr>
        <w:t xml:space="preserve"> </w:t>
      </w:r>
      <w:r>
        <w:rPr>
          <w:rFonts w:ascii="Times New Roman;serif" w:hAnsi="Times New Roman;serif"/>
          <w:b w:val="false"/>
          <w:color w:val="231F20"/>
          <w:sz w:val="20"/>
        </w:rPr>
        <w:t>systems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hire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personnel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satisfy</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a public</w:t>
      </w:r>
      <w:r>
        <w:rPr>
          <w:color w:val="231F20"/>
        </w:rPr>
        <w:t xml:space="preserve"> </w:t>
      </w:r>
      <w:r>
        <w:rPr>
          <w:rFonts w:ascii="Times New Roman;serif" w:hAnsi="Times New Roman;serif"/>
          <w:b w:val="false"/>
          <w:color w:val="231F20"/>
          <w:sz w:val="20"/>
        </w:rPr>
        <w:t>company;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 hiring</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personnel</w:t>
      </w:r>
      <w:r>
        <w:rPr>
          <w:color w:val="231F20"/>
        </w:rPr>
        <w:t xml:space="preserve"> </w:t>
      </w:r>
      <w:r>
        <w:rPr>
          <w:rFonts w:ascii="Times New Roman;serif" w:hAnsi="Times New Roman;serif"/>
          <w:b w:val="false"/>
          <w:color w:val="231F20"/>
          <w:sz w:val="20"/>
        </w:rPr>
        <w:t>and consultants</w:t>
      </w:r>
      <w:r>
        <w:rPr>
          <w:color w:val="231F20"/>
        </w:rPr>
        <w:t xml:space="preserve"> </w:t>
      </w:r>
      <w:r>
        <w:rPr>
          <w:rFonts w:ascii="Times New Roman;serif" w:hAnsi="Times New Roman;serif"/>
          <w:b w:val="false"/>
          <w:color w:val="231F20"/>
          <w:sz w:val="20"/>
        </w:rPr>
        <w:t>as our clinical</w:t>
      </w:r>
      <w:r>
        <w:rPr>
          <w:color w:val="231F20"/>
        </w:rPr>
        <w:t xml:space="preserve"> </w:t>
      </w:r>
      <w:r>
        <w:rPr>
          <w:rFonts w:ascii="Times New Roman;serif" w:hAnsi="Times New Roman;serif"/>
          <w:b w:val="false"/>
          <w:color w:val="231F20"/>
          <w:sz w:val="20"/>
        </w:rPr>
        <w:t>activities</w:t>
      </w:r>
      <w:r>
        <w:rPr>
          <w:color w:val="231F20"/>
        </w:rPr>
        <w:t xml:space="preserve"> </w:t>
      </w:r>
      <w:r>
        <w:rPr>
          <w:rFonts w:ascii="Times New Roman;serif" w:hAnsi="Times New Roman;serif"/>
          <w:b w:val="false"/>
          <w:color w:val="231F20"/>
          <w:sz w:val="20"/>
        </w:rPr>
        <w:t>increase;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and timing</w:t>
      </w:r>
      <w:r>
        <w:rPr>
          <w:color w:val="231F20"/>
        </w:rPr>
        <w:t xml:space="preserve"> </w:t>
      </w:r>
      <w:r>
        <w:rPr>
          <w:rFonts w:ascii="Times New Roman;serif" w:hAnsi="Times New Roman;serif"/>
          <w:b w:val="false"/>
          <w:color w:val="231F20"/>
          <w:sz w:val="20"/>
        </w:rPr>
        <w:t>of establishing</w:t>
      </w:r>
      <w:r>
        <w:rPr>
          <w:color w:val="231F20"/>
        </w:rPr>
        <w:t xml:space="preserve"> </w:t>
      </w:r>
      <w:r>
        <w:rPr>
          <w:rFonts w:ascii="Times New Roman;serif" w:hAnsi="Times New Roman;serif"/>
          <w:b w:val="false"/>
          <w:color w:val="231F20"/>
          <w:sz w:val="20"/>
        </w:rPr>
        <w:t>or securing</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and marketing</w:t>
      </w:r>
      <w:r>
        <w:rPr>
          <w:color w:val="231F20"/>
        </w:rPr>
        <w:t xml:space="preserve"> </w:t>
      </w:r>
      <w:r>
        <w:rPr>
          <w:rFonts w:ascii="Times New Roman;serif" w:hAnsi="Times New Roman;serif"/>
          <w:b w:val="false"/>
          <w:color w:val="231F20"/>
          <w:sz w:val="20"/>
        </w:rPr>
        <w:t>capabilities</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ficerafusp</w:t>
      </w:r>
      <w:r>
        <w:rPr>
          <w:color w:val="231F20"/>
        </w:rPr>
        <w:t xml:space="preserve"> </w:t>
      </w:r>
      <w:r>
        <w:rPr>
          <w:rFonts w:ascii="Times New Roman;serif" w:hAnsi="Times New Roman;serif"/>
          <w:b w:val="false"/>
          <w:color w:val="231F20"/>
          <w:sz w:val="20"/>
        </w:rPr>
        <w:t>alfa</w:t>
      </w:r>
      <w:r>
        <w:rPr>
          <w:color w:val="231F20"/>
        </w:rPr>
        <w:t xml:space="preserve"> </w:t>
      </w:r>
      <w:r>
        <w:rPr>
          <w:rFonts w:ascii="Times New Roman;serif" w:hAnsi="Times New Roman;serif"/>
          <w:b w:val="false"/>
          <w:color w:val="231F20"/>
          <w:sz w:val="20"/>
        </w:rPr>
        <w:t>or any 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approved;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ability</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achieve</w:t>
      </w:r>
      <w:r>
        <w:rPr>
          <w:color w:val="231F20"/>
        </w:rPr>
        <w:t xml:space="preserve"> </w:t>
      </w:r>
      <w:r>
        <w:rPr>
          <w:rFonts w:ascii="Times New Roman;serif" w:hAnsi="Times New Roman;serif"/>
          <w:b w:val="false"/>
          <w:color w:val="231F20"/>
          <w:sz w:val="20"/>
        </w:rPr>
        <w:t>sufficient</w:t>
      </w:r>
      <w:r>
        <w:rPr>
          <w:color w:val="231F20"/>
        </w:rPr>
        <w:t xml:space="preserve"> </w:t>
      </w:r>
      <w:r>
        <w:rPr>
          <w:rFonts w:ascii="Times New Roman;serif" w:hAnsi="Times New Roman;serif"/>
          <w:b w:val="false"/>
          <w:color w:val="231F20"/>
          <w:sz w:val="20"/>
        </w:rPr>
        <w:t>market</w:t>
      </w:r>
      <w:r>
        <w:rPr>
          <w:color w:val="231F20"/>
        </w:rPr>
        <w:t xml:space="preserve"> </w:t>
      </w:r>
      <w:r>
        <w:rPr>
          <w:rFonts w:ascii="Times New Roman;serif" w:hAnsi="Times New Roman;serif"/>
          <w:b w:val="false"/>
          <w:color w:val="231F20"/>
          <w:sz w:val="20"/>
        </w:rPr>
        <w:t>acceptance,</w:t>
      </w:r>
      <w:r>
        <w:rPr>
          <w:color w:val="231F20"/>
        </w:rPr>
        <w:t xml:space="preserve"> </w:t>
      </w:r>
      <w:r>
        <w:rPr>
          <w:rFonts w:ascii="Times New Roman;serif" w:hAnsi="Times New Roman;serif"/>
          <w:b w:val="false"/>
          <w:color w:val="231F20"/>
          <w:sz w:val="20"/>
        </w:rPr>
        <w:t>coverage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adequate</w:t>
      </w:r>
      <w:r>
        <w:rPr>
          <w:color w:val="231F20"/>
        </w:rPr>
        <w:t xml:space="preserve"> </w:t>
      </w:r>
      <w:r>
        <w:rPr>
          <w:rFonts w:ascii="Times New Roman;serif" w:hAnsi="Times New Roman;serif"/>
          <w:b w:val="false"/>
          <w:color w:val="231F20"/>
          <w:sz w:val="20"/>
        </w:rPr>
        <w:t>reimbursement</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third-party</w:t>
      </w:r>
      <w:r>
        <w:rPr>
          <w:color w:val="231F20"/>
        </w:rPr>
        <w:t xml:space="preserve"> </w:t>
      </w:r>
      <w:r>
        <w:rPr>
          <w:rFonts w:ascii="Times New Roman;serif" w:hAnsi="Times New Roman;serif"/>
          <w:b w:val="false"/>
          <w:color w:val="231F20"/>
          <w:sz w:val="20"/>
        </w:rPr>
        <w:t>payors</w:t>
      </w:r>
      <w:r>
        <w:rPr>
          <w:color w:val="231F20"/>
        </w:rPr>
        <w:t xml:space="preserve"> </w:t>
      </w:r>
      <w:r>
        <w:rPr>
          <w:rFonts w:ascii="Times New Roman;serif" w:hAnsi="Times New Roman;serif"/>
          <w:b w:val="false"/>
          <w:color w:val="231F20"/>
          <w:sz w:val="20"/>
        </w:rPr>
        <w:t>and adequate</w:t>
      </w:r>
      <w:r>
        <w:rPr>
          <w:color w:val="231F20"/>
        </w:rPr>
        <w:t xml:space="preserve"> </w:t>
      </w:r>
      <w:r>
        <w:rPr>
          <w:rFonts w:ascii="Times New Roman;serif" w:hAnsi="Times New Roman;serif"/>
          <w:b w:val="false"/>
          <w:color w:val="231F20"/>
          <w:sz w:val="20"/>
        </w:rPr>
        <w:t>market</w:t>
      </w:r>
      <w:r>
        <w:rPr>
          <w:color w:val="231F20"/>
        </w:rPr>
        <w:t xml:space="preserve"> </w:t>
      </w:r>
      <w:r>
        <w:rPr>
          <w:rFonts w:ascii="Times New Roman;serif" w:hAnsi="Times New Roman;serif"/>
          <w:b w:val="false"/>
          <w:color w:val="231F20"/>
          <w:sz w:val="20"/>
        </w:rPr>
        <w:t>share</w:t>
      </w:r>
      <w:r>
        <w:rPr>
          <w:color w:val="231F20"/>
        </w:rPr>
        <w:t xml:space="preserve"> </w:t>
      </w:r>
      <w:r>
        <w:rPr>
          <w:rFonts w:ascii="Times New Roman;serif" w:hAnsi="Times New Roman;serif"/>
          <w:b w:val="false"/>
          <w:color w:val="231F20"/>
          <w:sz w:val="20"/>
        </w:rPr>
        <w:t>and revenue</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any approved</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associated</w:t>
      </w:r>
      <w:r>
        <w:rPr>
          <w:color w:val="231F20"/>
        </w:rPr>
        <w:t xml:space="preserve"> </w:t>
      </w:r>
      <w:r>
        <w:rPr>
          <w:rFonts w:ascii="Times New Roman;serif" w:hAnsi="Times New Roman;serif"/>
          <w:b w:val="false"/>
          <w:color w:val="231F20"/>
          <w:sz w:val="20"/>
        </w:rPr>
        <w:t>with any products</w:t>
      </w:r>
      <w:r>
        <w:rPr>
          <w:color w:val="231F20"/>
        </w:rPr>
        <w:t xml:space="preserve"> </w:t>
      </w:r>
      <w:r>
        <w:rPr>
          <w:rFonts w:ascii="Times New Roman;serif" w:hAnsi="Times New Roman;serif"/>
          <w:b w:val="false"/>
          <w:color w:val="231F20"/>
          <w:sz w:val="20"/>
        </w:rPr>
        <w:t>or technologies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in-license</w:t>
      </w:r>
      <w:r>
        <w:rPr>
          <w:color w:val="231F20"/>
        </w:rPr>
        <w:t xml:space="preserve"> </w:t>
      </w:r>
      <w:r>
        <w:rPr>
          <w:rFonts w:ascii="Times New Roman;serif" w:hAnsi="Times New Roman;serif"/>
          <w:b w:val="false"/>
          <w:color w:val="231F20"/>
          <w:sz w:val="20"/>
        </w:rPr>
        <w:t>or acquire.</w:t>
      </w:r>
    </w:p>
    <w:p>
      <w:pPr>
        <w:pStyle w:val="TextBody"/>
        <w:bidi w:val="0"/>
        <w:spacing w:lineRule="auto" w:line="288" w:before="200" w:after="283"/>
        <w:jc w:val="both"/>
        <w:rPr/>
      </w:pPr>
      <w:r>
        <w:rPr>
          <w:rFonts w:ascii="Times New Roman;serif" w:hAnsi="Times New Roman;serif"/>
          <w:b w:val="false"/>
          <w:color w:val="231F20"/>
          <w:sz w:val="20"/>
        </w:rPr>
        <w:t>Until</w:t>
      </w:r>
      <w:r>
        <w:rPr>
          <w:color w:val="231F20"/>
        </w:rPr>
        <w:t xml:space="preserve"> </w:t>
      </w:r>
      <w:r>
        <w:rPr>
          <w:rFonts w:ascii="Times New Roman;serif" w:hAnsi="Times New Roman;serif"/>
          <w:b w:val="false"/>
          <w:color w:val="231F20"/>
          <w:sz w:val="20"/>
        </w:rPr>
        <w:t>such time,</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ever,</w:t>
      </w:r>
      <w:r>
        <w:rPr>
          <w:color w:val="231F20"/>
        </w:rPr>
        <w:t xml:space="preserve"> </w:t>
      </w:r>
      <w:r>
        <w:rPr>
          <w:rFonts w:ascii="Times New Roman;serif" w:hAnsi="Times New Roman;serif"/>
          <w:b w:val="false"/>
          <w:color w:val="231F20"/>
          <w:sz w:val="20"/>
        </w:rPr>
        <w:t>as we can generate</w:t>
      </w:r>
      <w:r>
        <w:rPr>
          <w:color w:val="231F20"/>
        </w:rPr>
        <w:t xml:space="preserve"> </w:t>
      </w:r>
      <w:r>
        <w:rPr>
          <w:rFonts w:ascii="Times New Roman;serif" w:hAnsi="Times New Roman;serif"/>
          <w:b w:val="false"/>
          <w:color w:val="231F20"/>
          <w:sz w:val="20"/>
        </w:rPr>
        <w:t>substantial</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to support</w:t>
      </w:r>
      <w:r>
        <w:rPr>
          <w:color w:val="231F20"/>
        </w:rPr>
        <w:t xml:space="preserve"> </w:t>
      </w:r>
      <w:r>
        <w:rPr>
          <w:rFonts w:ascii="Times New Roman;serif" w:hAnsi="Times New Roman;serif"/>
          <w:b w:val="false"/>
          <w:color w:val="231F20"/>
          <w:sz w:val="20"/>
        </w:rPr>
        <w:t>our cost</w:t>
      </w:r>
      <w:r>
        <w:rPr>
          <w:color w:val="231F20"/>
        </w:rPr>
        <w:t xml:space="preserve"> </w:t>
      </w:r>
      <w:r>
        <w:rPr>
          <w:rFonts w:ascii="Times New Roman;serif" w:hAnsi="Times New Roman;serif"/>
          <w:b w:val="false"/>
          <w:color w:val="231F20"/>
          <w:sz w:val="20"/>
        </w:rPr>
        <w:t>structure,</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finance</w:t>
      </w:r>
      <w:r>
        <w:rPr>
          <w:color w:val="231F20"/>
        </w:rPr>
        <w:t xml:space="preserve"> </w:t>
      </w:r>
      <w:r>
        <w:rPr>
          <w:rFonts w:ascii="Times New Roman;serif" w:hAnsi="Times New Roman;serif"/>
          <w:b w:val="false"/>
          <w:color w:val="231F20"/>
          <w:sz w:val="20"/>
        </w:rPr>
        <w:t>our cash</w:t>
      </w:r>
      <w:r>
        <w:rPr>
          <w:color w:val="231F20"/>
        </w:rPr>
        <w:t xml:space="preserve"> </w:t>
      </w:r>
      <w:r>
        <w:rPr>
          <w:rFonts w:ascii="Times New Roman;serif" w:hAnsi="Times New Roman;serif"/>
          <w:b w:val="false"/>
          <w:color w:val="231F20"/>
          <w:sz w:val="20"/>
        </w:rPr>
        <w:t>needs</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equity</w:t>
      </w:r>
      <w:r>
        <w:rPr>
          <w:color w:val="231F20"/>
        </w:rPr>
        <w:t xml:space="preserve"> </w:t>
      </w:r>
      <w:r>
        <w:rPr>
          <w:rFonts w:ascii="Times New Roman;serif" w:hAnsi="Times New Roman;serif"/>
          <w:b w:val="false"/>
          <w:color w:val="231F20"/>
          <w:sz w:val="20"/>
        </w:rPr>
        <w:t>offerings,</w:t>
      </w:r>
      <w:r>
        <w:rPr>
          <w:color w:val="231F20"/>
        </w:rPr>
        <w:t xml:space="preserve"> </w:t>
      </w:r>
      <w:r>
        <w:rPr>
          <w:rFonts w:ascii="Times New Roman;serif" w:hAnsi="Times New Roman;serif"/>
          <w:b w:val="false"/>
          <w:color w:val="231F20"/>
          <w:sz w:val="20"/>
        </w:rPr>
        <w:t>debt</w:t>
      </w:r>
      <w:r>
        <w:rPr>
          <w:color w:val="231F20"/>
        </w:rPr>
        <w:t xml:space="preserve"> </w:t>
      </w:r>
      <w:r>
        <w:rPr>
          <w:rFonts w:ascii="Times New Roman;serif" w:hAnsi="Times New Roman;serif"/>
          <w:b w:val="false"/>
          <w:color w:val="231F20"/>
          <w:sz w:val="20"/>
        </w:rPr>
        <w:t>financings,</w:t>
      </w:r>
      <w:r>
        <w:rPr>
          <w:color w:val="231F20"/>
        </w:rPr>
        <w:t xml:space="preserve"> </w:t>
      </w:r>
      <w:r>
        <w:rPr>
          <w:rFonts w:ascii="Times New Roman;serif" w:hAnsi="Times New Roman;serif"/>
          <w:b w:val="false"/>
          <w:color w:val="231F20"/>
          <w:sz w:val="20"/>
        </w:rPr>
        <w:t>or other</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sources,</w:t>
      </w:r>
      <w:r>
        <w:rPr>
          <w:color w:val="231F20"/>
        </w:rPr>
        <w:t xml:space="preserve"> </w:t>
      </w:r>
      <w:r>
        <w:rPr>
          <w:rFonts w:ascii="Times New Roman;serif" w:hAnsi="Times New Roman;serif"/>
          <w:b w:val="false"/>
          <w:color w:val="231F20"/>
          <w:sz w:val="20"/>
        </w:rPr>
        <w:t>potentially including collaborations, licenses</w:t>
      </w:r>
      <w:r>
        <w:rPr>
          <w:color w:val="231F20"/>
        </w:rPr>
        <w:t xml:space="preserve"> </w:t>
      </w:r>
      <w:r>
        <w:rPr>
          <w:rFonts w:ascii="Times New Roman;serif" w:hAnsi="Times New Roman;serif"/>
          <w:b w:val="false"/>
          <w:color w:val="231F20"/>
          <w:sz w:val="20"/>
        </w:rPr>
        <w:t>and other similar arrangements.</w:t>
      </w:r>
      <w:r>
        <w:rPr>
          <w:color w:val="231F20"/>
        </w:rPr>
        <w:t xml:space="preserve"> </w:t>
      </w:r>
      <w:r>
        <w:rPr>
          <w:rFonts w:ascii="Times New Roman;serif" w:hAnsi="Times New Roman;serif"/>
          <w:b w:val="false"/>
          <w:color w:val="231F20"/>
          <w:sz w:val="20"/>
        </w:rPr>
        <w:t>However, we may be unable</w:t>
      </w:r>
      <w:r>
        <w:rPr>
          <w:color w:val="231F20"/>
        </w:rPr>
        <w:t xml:space="preserve"> </w:t>
      </w:r>
      <w:r>
        <w:rPr>
          <w:rFonts w:ascii="Times New Roman;serif" w:hAnsi="Times New Roman;serif"/>
          <w:b w:val="false"/>
          <w:color w:val="231F20"/>
          <w:sz w:val="20"/>
        </w:rPr>
        <w:t>to raise additional</w:t>
      </w:r>
      <w:r>
        <w:rPr>
          <w:color w:val="231F20"/>
        </w:rPr>
        <w:t xml:space="preserve"> </w:t>
      </w:r>
      <w:r>
        <w:rPr>
          <w:rFonts w:ascii="Times New Roman;serif" w:hAnsi="Times New Roman;serif"/>
          <w:b w:val="false"/>
          <w:color w:val="231F20"/>
          <w:sz w:val="20"/>
        </w:rPr>
        <w:t>funds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enter</w:t>
      </w:r>
      <w:r>
        <w:rPr>
          <w:color w:val="231F20"/>
        </w:rPr>
        <w:t xml:space="preserve"> </w:t>
      </w:r>
      <w:r>
        <w:rPr>
          <w:rFonts w:ascii="Times New Roman;serif" w:hAnsi="Times New Roman;serif"/>
          <w:b w:val="false"/>
          <w:color w:val="231F20"/>
          <w:sz w:val="20"/>
        </w:rPr>
        <w:t>into</w:t>
      </w:r>
      <w:r>
        <w:rPr>
          <w:color w:val="231F20"/>
        </w:rPr>
        <w:t xml:space="preserve"> </w:t>
      </w:r>
      <w:r>
        <w:rPr>
          <w:rFonts w:ascii="Times New Roman;serif" w:hAnsi="Times New Roman;serif"/>
          <w:b w:val="false"/>
          <w:color w:val="231F20"/>
          <w:sz w:val="20"/>
        </w:rPr>
        <w:t>such</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arrangements</w:t>
      </w:r>
      <w:r>
        <w:rPr>
          <w:color w:val="231F20"/>
        </w:rPr>
        <w:t xml:space="preserve"> </w:t>
      </w:r>
      <w:r>
        <w:rPr>
          <w:rFonts w:ascii="Times New Roman;serif" w:hAnsi="Times New Roman;serif"/>
          <w:b w:val="false"/>
          <w:color w:val="231F20"/>
          <w:sz w:val="20"/>
        </w:rPr>
        <w:t>when</w:t>
      </w:r>
      <w:r>
        <w:rPr>
          <w:color w:val="231F20"/>
        </w:rPr>
        <w:t xml:space="preserve"> </w:t>
      </w:r>
      <w:r>
        <w:rPr>
          <w:rFonts w:ascii="Times New Roman;serif" w:hAnsi="Times New Roman;serif"/>
          <w:b w:val="false"/>
          <w:color w:val="231F20"/>
          <w:sz w:val="20"/>
        </w:rPr>
        <w:t>needed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favorable</w:t>
      </w:r>
      <w:r>
        <w:rPr>
          <w:color w:val="231F20"/>
        </w:rPr>
        <w:t xml:space="preserve"> </w:t>
      </w:r>
      <w:r>
        <w:rPr>
          <w:rFonts w:ascii="Times New Roman;serif" w:hAnsi="Times New Roman;serif"/>
          <w:b w:val="false"/>
          <w:color w:val="231F20"/>
          <w:sz w:val="20"/>
        </w:rPr>
        <w:t>terms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all.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extent that</w:t>
      </w:r>
      <w:r>
        <w:rPr>
          <w:color w:val="231F20"/>
        </w:rPr>
        <w:t xml:space="preserve"> </w:t>
      </w:r>
      <w:r>
        <w:rPr>
          <w:rFonts w:ascii="Times New Roman;serif" w:hAnsi="Times New Roman;serif"/>
          <w:b w:val="false"/>
          <w:color w:val="231F20"/>
          <w:sz w:val="20"/>
        </w:rPr>
        <w:t>we raise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sale</w:t>
      </w:r>
      <w:r>
        <w:rPr>
          <w:color w:val="231F20"/>
        </w:rPr>
        <w:t xml:space="preserve"> </w:t>
      </w:r>
      <w:r>
        <w:rPr>
          <w:rFonts w:ascii="Times New Roman;serif" w:hAnsi="Times New Roman;serif"/>
          <w:b w:val="false"/>
          <w:color w:val="231F20"/>
          <w:sz w:val="20"/>
        </w:rPr>
        <w:t>of equity</w:t>
      </w:r>
      <w:r>
        <w:rPr>
          <w:color w:val="231F20"/>
        </w:rPr>
        <w:t xml:space="preserve"> </w:t>
      </w:r>
      <w:r>
        <w:rPr>
          <w:rFonts w:ascii="Times New Roman;serif" w:hAnsi="Times New Roman;serif"/>
          <w:b w:val="false"/>
          <w:color w:val="231F20"/>
          <w:sz w:val="20"/>
        </w:rPr>
        <w:t>or convertible</w:t>
      </w:r>
      <w:r>
        <w:rPr>
          <w:color w:val="231F20"/>
        </w:rPr>
        <w:t xml:space="preserve"> </w:t>
      </w:r>
      <w:r>
        <w:rPr>
          <w:rFonts w:ascii="Times New Roman;serif" w:hAnsi="Times New Roman;serif"/>
          <w:b w:val="false"/>
          <w:color w:val="231F20"/>
          <w:sz w:val="20"/>
        </w:rPr>
        <w:t>debt securities,</w:t>
      </w:r>
      <w:r>
        <w:rPr>
          <w:color w:val="231F20"/>
        </w:rPr>
        <w:t xml:space="preserve"> </w:t>
      </w:r>
      <w:r>
        <w:rPr>
          <w:rFonts w:ascii="Times New Roman;serif" w:hAnsi="Times New Roman;serif"/>
          <w:b w:val="false"/>
          <w:color w:val="231F20"/>
          <w:sz w:val="20"/>
        </w:rPr>
        <w:t>the ownership interest</w:t>
      </w:r>
      <w:r>
        <w:rPr>
          <w:color w:val="231F20"/>
        </w:rPr>
        <w:t xml:space="preserve"> </w:t>
      </w:r>
      <w:r>
        <w:rPr>
          <w:rFonts w:ascii="Times New Roman;serif" w:hAnsi="Times New Roman;serif"/>
          <w:b w:val="false"/>
          <w:color w:val="231F20"/>
          <w:sz w:val="20"/>
        </w:rPr>
        <w:t>of our</w:t>
      </w:r>
      <w:r>
        <w:rPr>
          <w:color w:val="231F20"/>
        </w:rPr>
        <w:t xml:space="preserve"> </w:t>
      </w:r>
      <w:r>
        <w:rPr>
          <w:rFonts w:ascii="Times New Roman;serif" w:hAnsi="Times New Roman;serif"/>
          <w:b w:val="false"/>
          <w:color w:val="231F20"/>
          <w:sz w:val="20"/>
        </w:rPr>
        <w:t>stockholders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diluted,</w:t>
      </w:r>
      <w:r>
        <w:rPr>
          <w:color w:val="231F20"/>
        </w:rPr>
        <w:t xml:space="preserve"> </w:t>
      </w:r>
      <w:r>
        <w:rPr>
          <w:rFonts w:ascii="Times New Roman;serif" w:hAnsi="Times New Roman;serif"/>
          <w:b w:val="false"/>
          <w:color w:val="231F20"/>
          <w:sz w:val="20"/>
        </w:rPr>
        <w:t>and the</w:t>
      </w:r>
      <w:r>
        <w:rPr>
          <w:color w:val="231F20"/>
        </w:rPr>
        <w:t xml:space="preserve"> </w:t>
      </w:r>
      <w:r>
        <w:rPr>
          <w:rFonts w:ascii="Times New Roman;serif" w:hAnsi="Times New Roman;serif"/>
          <w:b w:val="false"/>
          <w:color w:val="231F20"/>
          <w:sz w:val="20"/>
        </w:rPr>
        <w:t>terms</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liquidation</w:t>
      </w:r>
      <w:r>
        <w:rPr>
          <w:color w:val="231F20"/>
        </w:rPr>
        <w:t xml:space="preserve"> </w:t>
      </w:r>
      <w:r>
        <w:rPr>
          <w:rFonts w:ascii="Times New Roman;serif" w:hAnsi="Times New Roman;serif"/>
          <w:b w:val="false"/>
          <w:color w:val="231F20"/>
          <w:sz w:val="20"/>
        </w:rPr>
        <w:t>or other preferences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adversely</w:t>
      </w:r>
      <w:r>
        <w:rPr>
          <w:color w:val="231F20"/>
        </w:rPr>
        <w:t xml:space="preserve"> </w:t>
      </w:r>
      <w:r>
        <w:rPr>
          <w:rFonts w:ascii="Times New Roman;serif" w:hAnsi="Times New Roman;serif"/>
          <w:b w:val="false"/>
          <w:color w:val="231F20"/>
          <w:sz w:val="20"/>
        </w:rPr>
        <w:t>affect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rights</w:t>
      </w:r>
      <w:r>
        <w:rPr>
          <w:color w:val="231F20"/>
        </w:rPr>
        <w:t xml:space="preserve"> </w:t>
      </w:r>
      <w:r>
        <w:rPr>
          <w:rFonts w:ascii="Times New Roman;serif" w:hAnsi="Times New Roman;serif"/>
          <w:b w:val="false"/>
          <w:color w:val="231F20"/>
          <w:sz w:val="20"/>
        </w:rPr>
        <w:t>of our common</w:t>
      </w:r>
      <w:r>
        <w:rPr>
          <w:color w:val="231F20"/>
        </w:rPr>
        <w:t xml:space="preserve"> </w:t>
      </w:r>
      <w:r>
        <w:rPr>
          <w:rFonts w:ascii="Times New Roman;serif" w:hAnsi="Times New Roman;serif"/>
          <w:b w:val="false"/>
          <w:color w:val="231F20"/>
          <w:sz w:val="20"/>
        </w:rPr>
        <w:t>stockholders.</w:t>
      </w:r>
      <w:r>
        <w:rPr>
          <w:color w:val="231F20"/>
        </w:rPr>
        <w:t xml:space="preserve"> </w:t>
      </w:r>
      <w:r>
        <w:rPr>
          <w:rFonts w:ascii="Times New Roman;serif" w:hAnsi="Times New Roman;serif"/>
          <w:b w:val="false"/>
          <w:color w:val="231F20"/>
          <w:sz w:val="20"/>
        </w:rPr>
        <w:t>Debt financing</w:t>
      </w:r>
      <w:r>
        <w:rPr>
          <w:color w:val="231F20"/>
        </w:rPr>
        <w:t xml:space="preserve"> </w:t>
      </w:r>
      <w:r>
        <w:rPr>
          <w:rFonts w:ascii="Times New Roman;serif" w:hAnsi="Times New Roman;serif"/>
          <w:b w:val="false"/>
          <w:color w:val="231F20"/>
          <w:sz w:val="20"/>
        </w:rPr>
        <w:t>and equity</w:t>
      </w:r>
      <w:r>
        <w:rPr>
          <w:color w:val="231F20"/>
        </w:rPr>
        <w:t xml:space="preserve"> </w:t>
      </w:r>
      <w:r>
        <w:rPr>
          <w:rFonts w:ascii="Times New Roman;serif" w:hAnsi="Times New Roman;serif"/>
          <w:b w:val="false"/>
          <w:color w:val="231F20"/>
          <w:sz w:val="20"/>
        </w:rPr>
        <w:t>financing,</w:t>
      </w:r>
      <w:r>
        <w:rPr>
          <w:color w:val="231F20"/>
        </w:rPr>
        <w:t xml:space="preserve"> </w:t>
      </w:r>
      <w:r>
        <w:rPr>
          <w:rFonts w:ascii="Times New Roman;serif" w:hAnsi="Times New Roman;serif"/>
          <w:b w:val="false"/>
          <w:color w:val="231F20"/>
          <w:sz w:val="20"/>
        </w:rPr>
        <w:t>if available,</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involve</w:t>
      </w:r>
      <w:r>
        <w:rPr>
          <w:color w:val="231F20"/>
        </w:rPr>
        <w:t xml:space="preserve"> </w:t>
      </w:r>
      <w:r>
        <w:rPr>
          <w:rFonts w:ascii="Times New Roman;serif" w:hAnsi="Times New Roman;serif"/>
          <w:b w:val="false"/>
          <w:color w:val="231F20"/>
          <w:sz w:val="20"/>
        </w:rPr>
        <w:t>agreements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covenants</w:t>
      </w:r>
      <w:r>
        <w:rPr>
          <w:color w:val="231F20"/>
        </w:rPr>
        <w:t xml:space="preserve"> </w:t>
      </w:r>
      <w:r>
        <w:rPr>
          <w:rFonts w:ascii="Times New Roman;serif" w:hAnsi="Times New Roman;serif"/>
          <w:b w:val="false"/>
          <w:color w:val="231F20"/>
          <w:sz w:val="20"/>
        </w:rPr>
        <w:t>limiting</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restricting</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ability</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take</w:t>
      </w:r>
      <w:r>
        <w:rPr>
          <w:color w:val="231F20"/>
        </w:rPr>
        <w:t xml:space="preserve"> </w:t>
      </w:r>
      <w:r>
        <w:rPr>
          <w:rFonts w:ascii="Times New Roman;serif" w:hAnsi="Times New Roman;serif"/>
          <w:b w:val="false"/>
          <w:color w:val="231F20"/>
          <w:sz w:val="20"/>
        </w:rPr>
        <w:t>specific actions,</w:t>
      </w:r>
      <w:r>
        <w:rPr>
          <w:color w:val="231F20"/>
        </w:rPr>
        <w:t xml:space="preserve"> </w:t>
      </w:r>
      <w:r>
        <w:rPr>
          <w:rFonts w:ascii="Times New Roman;serif" w:hAnsi="Times New Roman;serif"/>
          <w:b w:val="false"/>
          <w:color w:val="231F20"/>
          <w:sz w:val="20"/>
        </w:rPr>
        <w:t>such</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incurring</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debt,</w:t>
      </w:r>
      <w:r>
        <w:rPr>
          <w:color w:val="231F20"/>
        </w:rPr>
        <w:t xml:space="preserve"> </w:t>
      </w:r>
      <w:r>
        <w:rPr>
          <w:rFonts w:ascii="Times New Roman;serif" w:hAnsi="Times New Roman;serif"/>
          <w:b w:val="false"/>
          <w:color w:val="231F20"/>
          <w:sz w:val="20"/>
        </w:rPr>
        <w:t>making</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expenditures,</w:t>
      </w:r>
      <w:r>
        <w:rPr>
          <w:color w:val="231F20"/>
        </w:rPr>
        <w:t xml:space="preserve"> </w:t>
      </w:r>
      <w:r>
        <w:rPr>
          <w:rFonts w:ascii="Times New Roman;serif" w:hAnsi="Times New Roman;serif"/>
          <w:b w:val="false"/>
          <w:color w:val="231F20"/>
          <w:sz w:val="20"/>
        </w:rPr>
        <w:t>or declaring</w:t>
      </w:r>
      <w:r>
        <w:rPr>
          <w:color w:val="231F20"/>
        </w:rPr>
        <w:t xml:space="preserve"> </w:t>
      </w:r>
      <w:r>
        <w:rPr>
          <w:rFonts w:ascii="Times New Roman;serif" w:hAnsi="Times New Roman;serif"/>
          <w:b w:val="false"/>
          <w:color w:val="231F20"/>
          <w:sz w:val="20"/>
        </w:rPr>
        <w:t>dividends.</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we raise</w:t>
      </w:r>
      <w:r>
        <w:rPr>
          <w:color w:val="231F20"/>
        </w:rPr>
        <w:t xml:space="preserve"> </w:t>
      </w:r>
      <w:r>
        <w:rPr>
          <w:rFonts w:ascii="Times New Roman;serif" w:hAnsi="Times New Roman;serif"/>
          <w:b w:val="false"/>
          <w:color w:val="231F20"/>
          <w:sz w:val="20"/>
        </w:rPr>
        <w:t>funds through</w:t>
      </w:r>
      <w:r>
        <w:rPr>
          <w:color w:val="231F20"/>
        </w:rPr>
        <w:t xml:space="preserve"> </w:t>
      </w:r>
      <w:r>
        <w:rPr>
          <w:rFonts w:ascii="Times New Roman;serif" w:hAnsi="Times New Roman;serif"/>
          <w:b w:val="false"/>
          <w:color w:val="231F20"/>
          <w:sz w:val="20"/>
        </w:rPr>
        <w:t>collaborations,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similar</w:t>
      </w:r>
      <w:r>
        <w:rPr>
          <w:color w:val="231F20"/>
        </w:rPr>
        <w:t xml:space="preserve"> </w:t>
      </w:r>
      <w:r>
        <w:rPr>
          <w:rFonts w:ascii="Times New Roman;serif" w:hAnsi="Times New Roman;serif"/>
          <w:b w:val="false"/>
          <w:color w:val="231F20"/>
          <w:sz w:val="20"/>
        </w:rPr>
        <w:t>arrangements</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third</w:t>
      </w:r>
      <w:r>
        <w:rPr>
          <w:color w:val="231F20"/>
        </w:rPr>
        <w:t xml:space="preserve"> </w:t>
      </w:r>
      <w:r>
        <w:rPr>
          <w:rFonts w:ascii="Times New Roman;serif" w:hAnsi="Times New Roman;serif"/>
          <w:b w:val="false"/>
          <w:color w:val="231F20"/>
          <w:sz w:val="20"/>
        </w:rPr>
        <w:t>parties,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relinquish</w:t>
      </w:r>
      <w:r>
        <w:rPr>
          <w:color w:val="231F20"/>
        </w:rPr>
        <w:t xml:space="preserve"> </w:t>
      </w:r>
      <w:r>
        <w:rPr>
          <w:rFonts w:ascii="Times New Roman;serif" w:hAnsi="Times New Roman;serif"/>
          <w:b w:val="false"/>
          <w:color w:val="231F20"/>
          <w:sz w:val="20"/>
        </w:rPr>
        <w:t>valuable rights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technologies,</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streams,</w:t>
      </w:r>
      <w:r>
        <w:rPr>
          <w:color w:val="231F20"/>
        </w:rPr>
        <w:t xml:space="preserve"> </w:t>
      </w: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programs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or 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or grant</w:t>
      </w:r>
      <w:r>
        <w:rPr>
          <w:color w:val="231F20"/>
        </w:rPr>
        <w:t xml:space="preserve"> </w:t>
      </w:r>
      <w:r>
        <w:rPr>
          <w:rFonts w:ascii="Times New Roman;serif" w:hAnsi="Times New Roman;serif"/>
          <w:b w:val="false"/>
          <w:color w:val="231F20"/>
          <w:sz w:val="20"/>
        </w:rPr>
        <w:t>licenses</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terms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not</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favorable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us</w:t>
      </w:r>
      <w:r>
        <w:rPr>
          <w:color w:val="231F20"/>
        </w:rPr>
        <w:t xml:space="preserve"> </w:t>
      </w:r>
      <w:r>
        <w:rPr>
          <w:rFonts w:ascii="Times New Roman;serif" w:hAnsi="Times New Roman;serif"/>
          <w:b w:val="false"/>
          <w:color w:val="231F20"/>
          <w:sz w:val="20"/>
        </w:rPr>
        <w:t>and/or</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reduce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value</w:t>
      </w:r>
      <w:r>
        <w:rPr>
          <w:color w:val="231F20"/>
        </w:rPr>
        <w:t xml:space="preserve"> </w:t>
      </w:r>
      <w:r>
        <w:rPr>
          <w:rFonts w:ascii="Times New Roman;serif" w:hAnsi="Times New Roman;serif"/>
          <w:b w:val="false"/>
          <w:color w:val="231F20"/>
          <w:sz w:val="20"/>
        </w:rPr>
        <w:t>of our common</w:t>
      </w:r>
      <w:r>
        <w:rPr>
          <w:color w:val="231F20"/>
        </w:rPr>
        <w:t xml:space="preserve"> </w:t>
      </w:r>
      <w:r>
        <w:rPr>
          <w:rFonts w:ascii="Times New Roman;serif" w:hAnsi="Times New Roman;serif"/>
          <w:b w:val="false"/>
          <w:color w:val="231F20"/>
          <w:sz w:val="20"/>
        </w:rPr>
        <w:t>stock.</w:t>
      </w:r>
      <w:r>
        <w:rPr>
          <w:color w:val="231F20"/>
        </w:rPr>
        <w:t xml:space="preserve"> </w:t>
      </w:r>
      <w:r>
        <w:rPr>
          <w:rFonts w:ascii="Times New Roman;serif" w:hAnsi="Times New Roman;serif"/>
          <w:b w:val="false"/>
          <w:color w:val="231F20"/>
          <w:sz w:val="20"/>
        </w:rPr>
        <w:t>Our failure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raise</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enter</w:t>
      </w:r>
      <w:r>
        <w:rPr>
          <w:color w:val="231F20"/>
        </w:rPr>
        <w:t xml:space="preserve"> </w:t>
      </w:r>
      <w:r>
        <w:rPr>
          <w:rFonts w:ascii="Times New Roman;serif" w:hAnsi="Times New Roman;serif"/>
          <w:b w:val="false"/>
          <w:color w:val="231F20"/>
          <w:sz w:val="20"/>
        </w:rPr>
        <w:t>into</w:t>
      </w:r>
      <w:r>
        <w:rPr>
          <w:color w:val="231F20"/>
        </w:rPr>
        <w:t xml:space="preserve"> </w:t>
      </w:r>
      <w:r>
        <w:rPr>
          <w:rFonts w:ascii="Times New Roman;serif" w:hAnsi="Times New Roman;serif"/>
          <w:b w:val="false"/>
          <w:color w:val="231F20"/>
          <w:sz w:val="20"/>
        </w:rPr>
        <w:t>such</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arrangements</w:t>
      </w:r>
      <w:r>
        <w:rPr>
          <w:color w:val="231F20"/>
        </w:rPr>
        <w:t xml:space="preserve"> </w:t>
      </w:r>
      <w:r>
        <w:rPr>
          <w:rFonts w:ascii="Times New Roman;serif" w:hAnsi="Times New Roman;serif"/>
          <w:b w:val="false"/>
          <w:color w:val="231F20"/>
          <w:sz w:val="20"/>
        </w:rPr>
        <w:t>when</w:t>
      </w:r>
      <w:r>
        <w:rPr>
          <w:color w:val="231F20"/>
        </w:rPr>
        <w:t xml:space="preserve"> </w:t>
      </w:r>
      <w:r>
        <w:rPr>
          <w:rFonts w:ascii="Times New Roman;serif" w:hAnsi="Times New Roman;serif"/>
          <w:b w:val="false"/>
          <w:color w:val="231F20"/>
          <w:sz w:val="20"/>
        </w:rPr>
        <w:t>needed</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have a negative</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on our financial</w:t>
      </w:r>
      <w:r>
        <w:rPr>
          <w:color w:val="231F20"/>
        </w:rPr>
        <w:t xml:space="preserve"> </w:t>
      </w:r>
      <w:r>
        <w:rPr>
          <w:rFonts w:ascii="Times New Roman;serif" w:hAnsi="Times New Roman;serif"/>
          <w:b w:val="false"/>
          <w:color w:val="231F20"/>
          <w:sz w:val="20"/>
        </w:rPr>
        <w:t>condition</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ability</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pursue</w:t>
      </w:r>
      <w:r>
        <w:rPr>
          <w:color w:val="231F20"/>
        </w:rPr>
        <w:t xml:space="preserve"> </w:t>
      </w:r>
      <w:r>
        <w:rPr>
          <w:rFonts w:ascii="Times New Roman;serif" w:hAnsi="Times New Roman;serif"/>
          <w:b w:val="false"/>
          <w:color w:val="231F20"/>
          <w:sz w:val="20"/>
        </w:rPr>
        <w:t>our business</w:t>
      </w:r>
      <w:r>
        <w:rPr>
          <w:color w:val="231F20"/>
        </w:rPr>
        <w:t xml:space="preserve"> </w:t>
      </w:r>
      <w:r>
        <w:rPr>
          <w:rFonts w:ascii="Times New Roman;serif" w:hAnsi="Times New Roman;serif"/>
          <w:b w:val="false"/>
          <w:color w:val="231F20"/>
          <w:sz w:val="20"/>
        </w:rPr>
        <w:t>plans</w:t>
      </w:r>
      <w:r>
        <w:rPr>
          <w:color w:val="231F20"/>
        </w:rPr>
        <w:t xml:space="preserve"> </w:t>
      </w:r>
      <w:r>
        <w:rPr>
          <w:rFonts w:ascii="Times New Roman;serif" w:hAnsi="Times New Roman;serif"/>
          <w:b w:val="false"/>
          <w:color w:val="231F20"/>
          <w:sz w:val="20"/>
        </w:rPr>
        <w:t>and strategies.</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we are</w:t>
      </w:r>
      <w:r>
        <w:rPr>
          <w:color w:val="231F20"/>
        </w:rPr>
        <w:t xml:space="preserve"> </w:t>
      </w:r>
      <w:r>
        <w:rPr>
          <w:rFonts w:ascii="Times New Roman;serif" w:hAnsi="Times New Roman;serif"/>
          <w:b w:val="false"/>
          <w:color w:val="231F20"/>
          <w:sz w:val="20"/>
        </w:rPr>
        <w:t>unable</w:t>
      </w:r>
      <w:r>
        <w:rPr>
          <w:color w:val="231F20"/>
        </w:rPr>
        <w:t xml:space="preserve"> </w:t>
      </w:r>
      <w:r>
        <w:rPr>
          <w:rFonts w:ascii="Times New Roman;serif" w:hAnsi="Times New Roman;serif"/>
          <w:b w:val="false"/>
          <w:color w:val="231F20"/>
          <w:sz w:val="20"/>
        </w:rPr>
        <w:t>to raise additional</w:t>
      </w:r>
      <w:r>
        <w:rPr>
          <w:color w:val="231F20"/>
        </w:rPr>
        <w:t xml:space="preserve"> </w:t>
      </w:r>
      <w:r>
        <w:rPr>
          <w:rFonts w:ascii="Times New Roman;serif" w:hAnsi="Times New Roman;serif"/>
          <w:b w:val="false"/>
          <w:color w:val="231F20"/>
          <w:sz w:val="20"/>
        </w:rPr>
        <w:t>funds</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equity</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debt</w:t>
      </w:r>
      <w:r>
        <w:rPr>
          <w:color w:val="231F20"/>
        </w:rPr>
        <w:t xml:space="preserve"> </w:t>
      </w:r>
      <w:r>
        <w:rPr>
          <w:rFonts w:ascii="Times New Roman;serif" w:hAnsi="Times New Roman;serif"/>
          <w:b w:val="false"/>
          <w:color w:val="231F20"/>
          <w:sz w:val="20"/>
        </w:rPr>
        <w:t>financings</w:t>
      </w:r>
      <w:r>
        <w:rPr>
          <w:color w:val="231F20"/>
        </w:rPr>
        <w:t xml:space="preserve"> </w:t>
      </w:r>
      <w:r>
        <w:rPr>
          <w:rFonts w:ascii="Times New Roman;serif" w:hAnsi="Times New Roman;serif"/>
          <w:b w:val="false"/>
          <w:color w:val="231F20"/>
          <w:sz w:val="20"/>
        </w:rPr>
        <w:t>when needed,</w:t>
      </w:r>
      <w:r>
        <w:rPr>
          <w:color w:val="231F20"/>
        </w:rPr>
        <w:t xml:space="preserve"> </w:t>
      </w:r>
      <w:r>
        <w:rPr>
          <w:rFonts w:ascii="Times New Roman;serif" w:hAnsi="Times New Roman;serif"/>
          <w:b w:val="false"/>
          <w:color w:val="231F20"/>
          <w:sz w:val="20"/>
        </w:rPr>
        <w:t>we may</w:t>
      </w:r>
      <w:r>
        <w:rPr>
          <w:color w:val="231F20"/>
        </w:rPr>
        <w:t xml:space="preserve"> </w:t>
      </w:r>
      <w:r>
        <w:rPr>
          <w:rFonts w:ascii="Times New Roman;serif" w:hAnsi="Times New Roman;serif"/>
          <w:b w:val="false"/>
          <w:color w:val="231F20"/>
          <w:sz w:val="20"/>
        </w:rPr>
        <w:t>be required</w:t>
      </w:r>
      <w:r>
        <w:rPr>
          <w:color w:val="231F20"/>
        </w:rPr>
        <w:t xml:space="preserve"> </w:t>
      </w:r>
      <w:r>
        <w:rPr>
          <w:rFonts w:ascii="Times New Roman;serif" w:hAnsi="Times New Roman;serif"/>
          <w:b w:val="false"/>
          <w:color w:val="231F20"/>
          <w:sz w:val="20"/>
        </w:rPr>
        <w:t>to delay,</w:t>
      </w:r>
      <w:r>
        <w:rPr>
          <w:color w:val="231F20"/>
        </w:rPr>
        <w:t xml:space="preserve"> </w:t>
      </w:r>
      <w:r>
        <w:rPr>
          <w:rFonts w:ascii="Times New Roman;serif" w:hAnsi="Times New Roman;serif"/>
          <w:b w:val="false"/>
          <w:color w:val="231F20"/>
          <w:sz w:val="20"/>
        </w:rPr>
        <w:t>limit,</w:t>
      </w:r>
      <w:r>
        <w:rPr>
          <w:color w:val="231F20"/>
        </w:rPr>
        <w:t xml:space="preserve"> </w:t>
      </w:r>
      <w:r>
        <w:rPr>
          <w:rFonts w:ascii="Times New Roman;serif" w:hAnsi="Times New Roman;serif"/>
          <w:b w:val="false"/>
          <w:color w:val="231F20"/>
          <w:sz w:val="20"/>
        </w:rPr>
        <w:t>reduce</w:t>
      </w:r>
      <w:r>
        <w:rPr>
          <w:color w:val="231F20"/>
        </w:rPr>
        <w:t xml:space="preserve"> </w:t>
      </w:r>
      <w:r>
        <w:rPr>
          <w:rFonts w:ascii="Times New Roman;serif" w:hAnsi="Times New Roman;serif"/>
          <w:b w:val="false"/>
          <w:color w:val="231F20"/>
          <w:sz w:val="20"/>
        </w:rPr>
        <w:t>or terminate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commercialization</w:t>
      </w:r>
      <w:r>
        <w:rPr>
          <w:color w:val="231F20"/>
        </w:rPr>
        <w:t xml:space="preserve"> </w:t>
      </w:r>
      <w:r>
        <w:rPr>
          <w:rFonts w:ascii="Times New Roman;serif" w:hAnsi="Times New Roman;serif"/>
          <w:b w:val="false"/>
          <w:color w:val="231F20"/>
          <w:sz w:val="20"/>
        </w:rPr>
        <w:t>efforts</w:t>
      </w:r>
      <w:r>
        <w:rPr>
          <w:color w:val="231F20"/>
        </w:rPr>
        <w:t xml:space="preserve"> </w:t>
      </w:r>
      <w:r>
        <w:rPr>
          <w:rFonts w:ascii="Times New Roman;serif" w:hAnsi="Times New Roman;serif"/>
          <w:b w:val="false"/>
          <w:color w:val="231F20"/>
          <w:sz w:val="20"/>
        </w:rPr>
        <w:t>or grant</w:t>
      </w:r>
      <w:r>
        <w:rPr>
          <w:color w:val="231F20"/>
        </w:rPr>
        <w:t xml:space="preserve"> </w:t>
      </w:r>
      <w:r>
        <w:rPr>
          <w:rFonts w:ascii="Times New Roman;serif" w:hAnsi="Times New Roman;serif"/>
          <w:b w:val="false"/>
          <w:color w:val="231F20"/>
          <w:sz w:val="20"/>
        </w:rPr>
        <w:t>rights</w:t>
      </w:r>
      <w:r>
        <w:rPr>
          <w:color w:val="231F20"/>
        </w:rPr>
        <w:t xml:space="preserve"> </w:t>
      </w:r>
      <w:r>
        <w:rPr>
          <w:rFonts w:ascii="Times New Roman;serif" w:hAnsi="Times New Roman;serif"/>
          <w:b w:val="false"/>
          <w:color w:val="231F20"/>
          <w:sz w:val="20"/>
        </w:rPr>
        <w:t>to develop</w:t>
      </w:r>
      <w:r>
        <w:rPr>
          <w:color w:val="231F20"/>
        </w:rPr>
        <w:t xml:space="preserve"> </w:t>
      </w:r>
      <w:r>
        <w:rPr>
          <w:rFonts w:ascii="Times New Roman;serif" w:hAnsi="Times New Roman;serif"/>
          <w:b w:val="false"/>
          <w:color w:val="231F20"/>
          <w:sz w:val="20"/>
        </w:rPr>
        <w:t>and market</w:t>
      </w:r>
      <w:r>
        <w:rPr>
          <w:color w:val="231F20"/>
        </w:rPr>
        <w:t xml:space="preserve"> </w:t>
      </w:r>
      <w:r>
        <w:rPr>
          <w:rFonts w:ascii="Times New Roman;serif" w:hAnsi="Times New Roman;serif"/>
          <w:b w:val="false"/>
          <w:color w:val="231F20"/>
          <w:sz w:val="20"/>
        </w:rPr>
        <w:t>our current</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candidates</w:t>
      </w:r>
      <w:r>
        <w:rPr>
          <w:color w:val="231F20"/>
        </w:rPr>
        <w:t xml:space="preserve"> </w:t>
      </w:r>
      <w:r>
        <w:rPr>
          <w:rFonts w:ascii="Times New Roman;serif" w:hAnsi="Times New Roman;serif"/>
          <w:b w:val="false"/>
          <w:color w:val="231F20"/>
          <w:sz w:val="20"/>
        </w:rPr>
        <w:t>even</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would</w:t>
      </w:r>
      <w:r>
        <w:rPr>
          <w:color w:val="231F20"/>
        </w:rPr>
        <w:t xml:space="preserve"> </w:t>
      </w:r>
      <w:r>
        <w:rPr>
          <w:rFonts w:ascii="Times New Roman;serif" w:hAnsi="Times New Roman;serif"/>
          <w:b w:val="false"/>
          <w:color w:val="231F20"/>
          <w:sz w:val="20"/>
        </w:rPr>
        <w:t>otherwise</w:t>
      </w:r>
      <w:r>
        <w:rPr>
          <w:color w:val="231F20"/>
        </w:rPr>
        <w:t xml:space="preserve"> </w:t>
      </w:r>
      <w:r>
        <w:rPr>
          <w:rFonts w:ascii="Times New Roman;serif" w:hAnsi="Times New Roman;serif"/>
          <w:b w:val="false"/>
          <w:color w:val="231F20"/>
          <w:sz w:val="20"/>
        </w:rPr>
        <w:t>prefer</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develop</w:t>
      </w:r>
      <w:r>
        <w:rPr>
          <w:color w:val="231F20"/>
        </w:rPr>
        <w:t xml:space="preserve"> </w:t>
      </w:r>
      <w:r>
        <w:rPr>
          <w:rFonts w:ascii="Times New Roman;serif" w:hAnsi="Times New Roman;serif"/>
          <w:b w:val="false"/>
          <w:color w:val="231F20"/>
          <w:sz w:val="20"/>
        </w:rPr>
        <w:t>and market</w:t>
      </w:r>
      <w:r>
        <w:rPr>
          <w:color w:val="231F20"/>
        </w:rPr>
        <w:t xml:space="preserve"> </w:t>
      </w:r>
      <w:r>
        <w:rPr>
          <w:rFonts w:ascii="Times New Roman;serif" w:hAnsi="Times New Roman;serif"/>
          <w:b w:val="false"/>
          <w:color w:val="231F20"/>
          <w:sz w:val="20"/>
        </w:rPr>
        <w:t>such product candidates</w:t>
      </w:r>
      <w:r>
        <w:rPr>
          <w:color w:val="231F20"/>
        </w:rPr>
        <w:t xml:space="preserve"> </w:t>
      </w:r>
      <w:r>
        <w:rPr>
          <w:rFonts w:ascii="Times New Roman;serif" w:hAnsi="Times New Roman;serif"/>
          <w:b w:val="false"/>
          <w:color w:val="231F20"/>
          <w:sz w:val="20"/>
        </w:rPr>
        <w:t>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lineRule="auto" w:line="288" w:before="200" w:after="283"/>
        <w:jc w:val="left"/>
        <w:rPr/>
      </w:pPr>
      <w:r>
        <w:rPr>
          <w:rFonts w:ascii="Times New Roman;serif" w:hAnsi="Times New Roman;serif"/>
          <w:b w:val="false"/>
          <w:i/>
          <w:color w:val="231F20"/>
          <w:sz w:val="20"/>
        </w:rPr>
        <w:t>Comparison</w:t>
      </w:r>
      <w:r>
        <w:rPr>
          <w:color w:val="231F20"/>
        </w:rPr>
        <w:t xml:space="preserve"> </w:t>
      </w:r>
      <w:r>
        <w:rPr>
          <w:rFonts w:ascii="Times New Roman;serif" w:hAnsi="Times New Roman;serif"/>
          <w:b w:val="false"/>
          <w:i/>
          <w:color w:val="231F20"/>
          <w:sz w:val="20"/>
        </w:rPr>
        <w:t>of the Six Months Ended June 30, 2026 and 2025</w:t>
      </w:r>
    </w:p>
    <w:p>
      <w:pPr>
        <w:pStyle w:val="TextBody"/>
        <w:bidi w:val="0"/>
        <w:spacing w:lineRule="auto" w:line="288" w:before="200" w:after="283"/>
        <w:jc w:val="left"/>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following</w:t>
      </w:r>
      <w:r>
        <w:rPr>
          <w:color w:val="231F20"/>
        </w:rPr>
        <w:t xml:space="preserve"> </w:t>
      </w:r>
      <w:r>
        <w:rPr>
          <w:rFonts w:ascii="Times New Roman;serif" w:hAnsi="Times New Roman;serif"/>
          <w:b w:val="false"/>
          <w:color w:val="231F20"/>
          <w:sz w:val="20"/>
        </w:rPr>
        <w:t>table</w:t>
      </w:r>
      <w:r>
        <w:rPr>
          <w:color w:val="231F20"/>
        </w:rPr>
        <w:t xml:space="preserve"> </w:t>
      </w:r>
      <w:r>
        <w:rPr>
          <w:rFonts w:ascii="Times New Roman;serif" w:hAnsi="Times New Roman;serif"/>
          <w:b w:val="false"/>
          <w:color w:val="231F20"/>
          <w:sz w:val="20"/>
        </w:rPr>
        <w:t>sets</w:t>
      </w:r>
      <w:r>
        <w:rPr>
          <w:color w:val="231F20"/>
        </w:rPr>
        <w:t xml:space="preserve"> </w:t>
      </w:r>
      <w:r>
        <w:rPr>
          <w:rFonts w:ascii="Times New Roman;serif" w:hAnsi="Times New Roman;serif"/>
          <w:b w:val="false"/>
          <w:color w:val="231F20"/>
          <w:sz w:val="20"/>
        </w:rPr>
        <w:t>forth</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summary</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flow</w:t>
      </w:r>
      <w:r>
        <w:rPr>
          <w:color w:val="231F20"/>
        </w:rPr>
        <w:t xml:space="preserve"> </w:t>
      </w:r>
      <w:r>
        <w:rPr>
          <w:rFonts w:ascii="Times New Roman;serif" w:hAnsi="Times New Roman;serif"/>
          <w:b w:val="false"/>
          <w:color w:val="231F20"/>
          <w:sz w:val="20"/>
        </w:rPr>
        <w:t>activity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six months ended June 30, 2026 and 2025 (in</w:t>
      </w:r>
      <w:r>
        <w:rPr>
          <w:color w:val="231F20"/>
        </w:rPr>
        <w:t xml:space="preserve"> </w:t>
      </w:r>
      <w:r>
        <w:rPr>
          <w:rFonts w:ascii="Times New Roman;serif" w:hAnsi="Times New Roman;serif"/>
          <w:b w:val="false"/>
          <w:color w:val="231F20"/>
          <w:sz w:val="20"/>
        </w:rPr>
        <w:t>thousands):</w:t>
      </w:r>
    </w:p>
    <w:tbl>
      <w:tblPr>
        <w:tblW w:w="6471"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211"/>
        <w:gridCol w:w="796"/>
        <w:gridCol w:w="109"/>
        <w:gridCol w:w="109"/>
        <w:gridCol w:w="109"/>
        <w:gridCol w:w="109"/>
        <w:gridCol w:w="211"/>
        <w:gridCol w:w="79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231F20"/>
                <w:sz w:val="20"/>
              </w:rPr>
            </w:pPr>
            <w:r>
              <w:rPr>
                <w:rFonts w:ascii="Times New Roman;serif" w:hAnsi="Times New Roman;serif"/>
                <w:b/>
                <w:color w:val="231F20"/>
                <w:sz w:val="20"/>
              </w:rPr>
              <w:t>2025</w:t>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Net cash used in operating</w:t>
            </w:r>
            <w:r>
              <w:rPr>
                <w:color w:val="231F20"/>
              </w:rPr>
              <w:t xml:space="preserve"> </w:t>
            </w:r>
            <w:r>
              <w:rPr>
                <w:rFonts w:ascii="Times New Roman;serif" w:hAnsi="Times New Roman;serif"/>
                <w:b w:val="false"/>
                <w:color w:val="231F20"/>
                <w:sz w:val="20"/>
              </w:rPr>
              <w:t>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(81,714)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(53,700)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Net cash used in investing</w:t>
            </w:r>
            <w:r>
              <w:rPr>
                <w:color w:val="231F20"/>
              </w:rPr>
              <w:t xml:space="preserve"> </w:t>
            </w:r>
            <w:r>
              <w:rPr>
                <w:rFonts w:ascii="Times New Roman;serif" w:hAnsi="Times New Roman;serif"/>
                <w:b w:val="false"/>
                <w:color w:val="231F20"/>
                <w:sz w:val="20"/>
              </w:rPr>
              <w:t>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(84,049)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Net cash provided</w:t>
            </w:r>
            <w:r>
              <w:rPr>
                <w:color w:val="231F20"/>
              </w:rPr>
              <w:t xml:space="preserve"> </w:t>
            </w:r>
            <w:r>
              <w:rPr>
                <w:rFonts w:ascii="Times New Roman;serif" w:hAnsi="Times New Roman;serif"/>
                <w:b w:val="false"/>
                <w:color w:val="231F20"/>
                <w:sz w:val="20"/>
              </w:rPr>
              <w:t>by financing</w:t>
            </w:r>
            <w:r>
              <w:rPr>
                <w:color w:val="231F20"/>
              </w:rPr>
              <w:t xml:space="preserve"> </w:t>
            </w:r>
            <w:r>
              <w:rPr>
                <w:rFonts w:ascii="Times New Roman;serif" w:hAnsi="Times New Roman;serif"/>
                <w:b w:val="false"/>
                <w:color w:val="231F20"/>
                <w:sz w:val="20"/>
              </w:rPr>
              <w:t>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165,677 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231F20"/>
                <w:sz w:val="20"/>
              </w:rPr>
              <w:t>Net decrease</w:t>
            </w:r>
            <w:r>
              <w:rPr>
                <w:color w:val="231F20"/>
              </w:rPr>
              <w:t xml:space="preserve"> </w:t>
            </w:r>
            <w:r>
              <w:rPr>
                <w:rFonts w:ascii="Times New Roman;serif" w:hAnsi="Times New Roman;serif"/>
                <w:b w:val="false"/>
                <w:color w:val="231F20"/>
                <w:sz w:val="20"/>
              </w:rPr>
              <w:t>in cash</w:t>
            </w:r>
            <w:r>
              <w:rPr>
                <w:color w:val="231F20"/>
              </w:rPr>
              <w:t xml:space="preserve"> </w:t>
            </w:r>
            <w:r>
              <w:rPr>
                <w:rFonts w:ascii="Times New Roman;serif" w:hAnsi="Times New Roman;serif"/>
                <w:b w:val="false"/>
                <w:color w:val="231F20"/>
                <w:sz w:val="20"/>
              </w:rPr>
              <w:t>and cash</w:t>
            </w:r>
            <w:r>
              <w:rPr>
                <w:color w:val="231F20"/>
              </w:rPr>
              <w:t xml:space="preserve"> </w:t>
            </w:r>
            <w:r>
              <w:rPr>
                <w:rFonts w:ascii="Times New Roman;serif" w:hAnsi="Times New Roman;serif"/>
                <w:b w:val="false"/>
                <w:color w:val="231F20"/>
                <w:sz w:val="20"/>
              </w:rPr>
              <w:t>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00"/>
              <w:jc w:val="right"/>
              <w:rPr>
                <w:rFonts w:ascii="Times New Roman;serif" w:hAnsi="Times New Roman;serif"/>
                <w:b w:val="false"/>
                <w:color w:val="231F20"/>
                <w:sz w:val="20"/>
              </w:rPr>
            </w:pPr>
            <w:r>
              <w:rPr>
                <w:rFonts w:ascii="Times New Roman;serif" w:hAnsi="Times New Roman;serif"/>
                <w:b w:val="false"/>
                <w:color w:val="231F20"/>
                <w:sz w:val="20"/>
              </w:rPr>
              <w:t>(53,105)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i/>
          <w:color w:val="231F20"/>
          <w:sz w:val="20"/>
        </w:rPr>
        <w:t>Operating</w:t>
      </w:r>
      <w:r>
        <w:rPr>
          <w:color w:val="231F20"/>
        </w:rPr>
        <w:t xml:space="preserve"> </w:t>
      </w:r>
      <w:r>
        <w:rPr>
          <w:rFonts w:ascii="Times New Roman;serif" w:hAnsi="Times New Roman;serif"/>
          <w:b/>
          <w:i/>
          <w:color w:val="231F20"/>
          <w:sz w:val="20"/>
        </w:rPr>
        <w:t>Activities</w:t>
      </w:r>
    </w:p>
    <w:p>
      <w:pPr>
        <w:pStyle w:val="TextBody"/>
        <w:bidi w:val="0"/>
        <w:spacing w:before="0" w:after="200"/>
        <w:jc w:val="left"/>
        <w:rPr/>
      </w:pPr>
      <w:r>
        <w:rPr/>
      </w:r>
    </w:p>
    <w:p>
      <w:pPr>
        <w:pStyle w:val="TextBody"/>
        <w:bidi w:val="0"/>
        <w:spacing w:lineRule="auto" w:line="319" w:before="0" w:after="200"/>
        <w:jc w:val="both"/>
        <w:rPr/>
      </w:pPr>
      <w:r>
        <w:rPr>
          <w:rFonts w:ascii="Times New Roman;serif" w:hAnsi="Times New Roman;serif"/>
          <w:b w:val="false"/>
          <w:color w:val="000000"/>
          <w:sz w:val="20"/>
        </w:rPr>
        <w:t xml:space="preserve">For the six months ended June 30, 2026, net cash used in operating activities was $81.7 million resulting from our net loss of $111.6 million, </w:t>
      </w:r>
      <w:r>
        <w:rPr>
          <w:rFonts w:ascii="Times New Roman;serif" w:hAnsi="Times New Roman;serif"/>
          <w:b w:val="false"/>
          <w:color w:val="000000"/>
          <w:sz w:val="20"/>
          <w:shd w:fill="FFFFFF" w:val="clear"/>
        </w:rPr>
        <w:t>partially offset by net increases in our operating assets and liabilities o</w:t>
      </w:r>
      <w:r>
        <w:rPr>
          <w:rFonts w:ascii="Times New Roman;serif" w:hAnsi="Times New Roman;serif"/>
          <w:b w:val="false"/>
          <w:color w:val="000000"/>
          <w:sz w:val="20"/>
        </w:rPr>
        <w:t>f $14.6 million and by non-cash charges of $15.3 million, consisting of stock-based compensation expense, depreciation and non-cash lease e</w:t>
      </w:r>
      <w:r>
        <w:rPr>
          <w:rFonts w:ascii="Times New Roman;serif" w:hAnsi="Times New Roman;serif"/>
          <w:b w:val="false"/>
          <w:color w:val="000000"/>
          <w:sz w:val="20"/>
          <w:shd w:fill="FFFFFF" w:val="clear"/>
        </w:rPr>
        <w:t xml:space="preserv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val="false"/>
          <w:color w:val="000000"/>
          <w:sz w:val="20"/>
        </w:rPr>
        <w:t xml:space="preserve">For the six months ended June 30, 2025, net cash used in operating activities was $53.7 million resulting from our net loss of $64.2 million, partially offset by </w:t>
      </w:r>
      <w:r>
        <w:rPr>
          <w:rFonts w:ascii="Times New Roman;serif" w:hAnsi="Times New Roman;serif"/>
          <w:b w:val="false"/>
          <w:color w:val="000000"/>
          <w:sz w:val="20"/>
          <w:shd w:fill="FFFFFF" w:val="clear"/>
        </w:rPr>
        <w:t>net increase</w:t>
      </w:r>
      <w:r>
        <w:rPr>
          <w:color w:val="000000"/>
        </w:rPr>
        <w:t xml:space="preserve"> </w:t>
      </w:r>
      <w:r>
        <w:rPr>
          <w:rFonts w:ascii="Times New Roman;serif" w:hAnsi="Times New Roman;serif"/>
          <w:b w:val="false"/>
          <w:color w:val="000000"/>
          <w:sz w:val="20"/>
        </w:rPr>
        <w:t>in our operating assets and liabilities of $3.2 million and non-cash charges of $7.3 million. Non-cash charges consisted of stock-based compensation expense, depreciation and non-cash lease charges.</w:t>
      </w:r>
    </w:p>
    <w:p>
      <w:pPr>
        <w:pStyle w:val="TextBody"/>
        <w:bidi w:val="0"/>
        <w:spacing w:lineRule="auto" w:line="288" w:before="200" w:after="283"/>
        <w:jc w:val="both"/>
        <w:rPr/>
      </w:pPr>
      <w:r>
        <w:rPr>
          <w:rFonts w:ascii="Times New Roman;serif" w:hAnsi="Times New Roman;serif"/>
          <w:b/>
          <w:i/>
          <w:color w:val="231F20"/>
          <w:sz w:val="20"/>
        </w:rPr>
        <w:t>Investing</w:t>
      </w:r>
      <w:r>
        <w:rPr>
          <w:color w:val="231F20"/>
        </w:rPr>
        <w:t xml:space="preserve"> </w:t>
      </w:r>
      <w:r>
        <w:rPr>
          <w:rFonts w:ascii="Times New Roman;serif" w:hAnsi="Times New Roman;serif"/>
          <w:b/>
          <w:i/>
          <w:color w:val="231F20"/>
          <w:sz w:val="20"/>
        </w:rPr>
        <w:t>Activities</w:t>
      </w:r>
    </w:p>
    <w:p>
      <w:pPr>
        <w:pStyle w:val="TextBody"/>
        <w:bidi w:val="0"/>
        <w:spacing w:lineRule="auto" w:line="240" w:before="100" w:after="100"/>
        <w:jc w:val="both"/>
        <w:rPr/>
      </w:pPr>
      <w:r>
        <w:rPr>
          <w:rFonts w:ascii="Times New Roman;serif" w:hAnsi="Times New Roman;serif"/>
          <w:b w:val="false"/>
          <w:color w:val="000000"/>
          <w:sz w:val="20"/>
        </w:rPr>
        <w:t>Net cash used in investing activities was $84.0 million for the six months ended June 30, 2026, resulting from cash used to purchase</w:t>
      </w:r>
      <w:r>
        <w:rPr>
          <w:color w:val="000000"/>
          <w:shd w:fill="FFFFFF" w:val="clear"/>
        </w:rPr>
        <w:t xml:space="preserve"> </w:t>
      </w:r>
      <w:r>
        <w:rPr>
          <w:rFonts w:ascii="Times New Roman;serif" w:hAnsi="Times New Roman;serif"/>
          <w:b w:val="false"/>
          <w:color w:val="000000"/>
          <w:sz w:val="20"/>
          <w:shd w:fill="FFFFFF" w:val="clear"/>
        </w:rPr>
        <w:t>$244.9 million marketable securities, partially offset by proceeds from maturity of marketable securities in 2026 totaling $161.0 million, which were purchased in the third quarter of 2025.</w:t>
      </w:r>
    </w:p>
    <w:p>
      <w:pPr>
        <w:pStyle w:val="TextBody"/>
        <w:bidi w:val="0"/>
        <w:spacing w:lineRule="auto" w:line="288" w:before="200" w:after="283"/>
        <w:jc w:val="both"/>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lineRule="auto" w:line="240" w:before="100" w:after="2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$165.7 million for the six months ended June 30, 2026, consisting primarily of proceeds from the offering of common stock and pre-funded warrants in February 2026 and proceeds from the exercise of stock options.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$0.6 million for the six months ended June 30, 2025, consisting primarily of proceeds from the exercise of common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231F20"/>
          <w:sz w:val="20"/>
        </w:rPr>
        <w:t>Critical</w:t>
      </w:r>
      <w:r>
        <w:rPr>
          <w:color w:val="231F20"/>
        </w:rPr>
        <w:t xml:space="preserve"> </w:t>
      </w:r>
      <w:r>
        <w:rPr>
          <w:rFonts w:ascii="Times New Roman;serif" w:hAnsi="Times New Roman;serif"/>
          <w:b/>
          <w:color w:val="231F20"/>
          <w:sz w:val="20"/>
        </w:rPr>
        <w:t>Accounting Policies</w:t>
      </w:r>
      <w:r>
        <w:rPr>
          <w:color w:val="231F20"/>
        </w:rPr>
        <w:t xml:space="preserve"> </w:t>
      </w:r>
      <w:r>
        <w:rPr>
          <w:rFonts w:ascii="Times New Roman;serif" w:hAnsi="Times New Roman;serif"/>
          <w:b/>
          <w:color w:val="231F20"/>
          <w:sz w:val="20"/>
        </w:rPr>
        <w:t>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discussion and analysis of our financial condition and results of operations is based on our condensed consolidated financial statements, which we have prepared in accordance with GAAP. The preparation of our financial statements and related disclosures requires us to make estimates, assumptions and judgments that affect the reported amount of assets, liabilities, costs and expenses, and related disclosures. During the three months ended June 30, 2026, there were no material changes to our critical accounting policies and significant judgments described under Management’s Discussion and Analysis of Critical Accounting Policies and Significant Judgments which are included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231F20"/>
          <w:sz w:val="20"/>
        </w:rPr>
        <w:t>Emerging</w:t>
      </w:r>
      <w:r>
        <w:rPr>
          <w:color w:val="231F20"/>
        </w:rPr>
        <w:t xml:space="preserve"> </w:t>
      </w:r>
      <w:r>
        <w:rPr>
          <w:rFonts w:ascii="Times New Roman;serif" w:hAnsi="Times New Roman;serif"/>
          <w:b/>
          <w:color w:val="231F20"/>
          <w:sz w:val="20"/>
        </w:rPr>
        <w:t>Growth Company and Smaller</w:t>
      </w:r>
      <w:r>
        <w:rPr>
          <w:color w:val="231F20"/>
        </w:rPr>
        <w:t xml:space="preserve"> </w:t>
      </w:r>
      <w:r>
        <w:rPr>
          <w:rFonts w:ascii="Times New Roman;serif" w:hAnsi="Times New Roman;serif"/>
          <w:b/>
          <w:color w:val="231F20"/>
          <w:sz w:val="20"/>
        </w:rPr>
        <w:t>Reporting Company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Jumpstart Our Business Startups Act of 2012, or JOBS, permits an “emerging growth company” such as us to take advantage of an extended transition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 are other exemptions and reduced reporting requirements provided by the JOBS Act that we are currently evaluating. For example, as an “emerging growth company,” we are exempt from Sections 14A(a) and (b) of the Securities Exchange Act of 1934, as amended, which would otherwise require us to (1) submit certain executive compensation matters to shareholder advisory votes, such as “say-on-pay,” “say-on-frequency,” and “golden parachutes;” and (2) disclose certain executive compensation related items such as the correlation between executive compensation and performance and comparisons of our chief executive officer’s compensation to our median employee compensation. We also intend to rely on an exemption from the rule requiring us to provide an auditor’s attestation report on our internal controls over financial reporting pursuant to Section 404(b) of the Sarbanes-Oxley Act. We will continue to remain an “emerging growth company” until the earliest of the following: (1) the last day of the fiscal year following the fifth anniversary of the date of the completion of our IPO; (2) the last day of the fiscal year in which our total annual gross revenue is equal to or more than $1.235 billion; (3) the date on which we have issued more than $1 billion in nonconvertible debt during the previous three years; or (4) the date on which we are deemed to be a large accelerated filer under the rules of the SEC.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Recent Accounting Pronouncements</w:t>
      </w:r>
    </w:p>
    <w:p>
      <w:pPr>
        <w:pStyle w:val="TextBody"/>
        <w:bidi w:val="0"/>
        <w:spacing w:lineRule="auto" w:line="288" w:before="200" w:after="283"/>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description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recently</w:t>
      </w:r>
      <w:r>
        <w:rPr>
          <w:color w:val="231F20"/>
        </w:rPr>
        <w:t xml:space="preserve"> </w:t>
      </w:r>
      <w:r>
        <w:rPr>
          <w:rFonts w:ascii="Times New Roman;serif" w:hAnsi="Times New Roman;serif"/>
          <w:b w:val="false"/>
          <w:color w:val="231F20"/>
          <w:sz w:val="20"/>
        </w:rPr>
        <w:t>issued</w:t>
      </w:r>
      <w:r>
        <w:rPr>
          <w:color w:val="231F20"/>
        </w:rPr>
        <w:t xml:space="preserve"> </w:t>
      </w:r>
      <w:r>
        <w:rPr>
          <w:rFonts w:ascii="Times New Roman;serif" w:hAnsi="Times New Roman;serif"/>
          <w:b w:val="false"/>
          <w:color w:val="231F20"/>
          <w:sz w:val="20"/>
        </w:rPr>
        <w:t>accounting</w:t>
      </w:r>
      <w:r>
        <w:rPr>
          <w:color w:val="231F20"/>
        </w:rPr>
        <w:t xml:space="preserve"> </w:t>
      </w:r>
      <w:r>
        <w:rPr>
          <w:rFonts w:ascii="Times New Roman;serif" w:hAnsi="Times New Roman;serif"/>
          <w:b w:val="false"/>
          <w:color w:val="231F20"/>
          <w:sz w:val="20"/>
        </w:rPr>
        <w:t>pronouncements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potentially</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our financial position</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disclosed</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2</w:t>
      </w:r>
      <w:r>
        <w:rPr>
          <w:color w:val="231F20"/>
        </w:rPr>
        <w:t xml:space="preserve"> </w:t>
      </w:r>
      <w:r>
        <w:rPr>
          <w:rFonts w:ascii="Times New Roman;serif" w:hAnsi="Times New Roman;serif"/>
          <w:b w:val="false"/>
          <w:color w:val="231F20"/>
          <w:sz w:val="20"/>
        </w:rPr>
        <w:t>titled</w:t>
      </w:r>
      <w:r>
        <w:rPr>
          <w:color w:val="231F20"/>
        </w:rPr>
        <w:t xml:space="preserve"> “</w:t>
      </w:r>
      <w:r>
        <w:rPr>
          <w:rFonts w:ascii="Times New Roman;serif" w:hAnsi="Times New Roman;serif"/>
          <w:b w:val="false"/>
          <w:i/>
          <w:color w:val="231F20"/>
          <w:sz w:val="20"/>
        </w:rPr>
        <w:t>Summary</w:t>
      </w:r>
      <w:r>
        <w:rPr>
          <w:color w:val="231F20"/>
        </w:rPr>
        <w:t xml:space="preserve"> </w:t>
      </w:r>
      <w:r>
        <w:rPr>
          <w:rFonts w:ascii="Times New Roman;serif" w:hAnsi="Times New Roman;serif"/>
          <w:b w:val="false"/>
          <w:i/>
          <w:color w:val="231F20"/>
          <w:sz w:val="20"/>
        </w:rPr>
        <w:t>of</w:t>
      </w:r>
      <w:r>
        <w:rPr>
          <w:color w:val="231F20"/>
        </w:rPr>
        <w:t xml:space="preserve"> </w:t>
      </w:r>
      <w:r>
        <w:rPr>
          <w:rFonts w:ascii="Times New Roman;serif" w:hAnsi="Times New Roman;serif"/>
          <w:b w:val="false"/>
          <w:i/>
          <w:color w:val="231F20"/>
          <w:sz w:val="20"/>
        </w:rPr>
        <w:t>Significant</w:t>
      </w:r>
      <w:r>
        <w:rPr>
          <w:color w:val="231F20"/>
        </w:rPr>
        <w:t xml:space="preserve"> </w:t>
      </w:r>
      <w:r>
        <w:rPr>
          <w:rFonts w:ascii="Times New Roman;serif" w:hAnsi="Times New Roman;serif"/>
          <w:b w:val="false"/>
          <w:i/>
          <w:color w:val="231F20"/>
          <w:sz w:val="20"/>
        </w:rPr>
        <w:t>Accounting</w:t>
      </w:r>
      <w:r>
        <w:rPr>
          <w:color w:val="231F20"/>
        </w:rPr>
        <w:t xml:space="preserve"> </w:t>
      </w:r>
      <w:r>
        <w:rPr>
          <w:rFonts w:ascii="Times New Roman;serif" w:hAnsi="Times New Roman;serif"/>
          <w:b w:val="false"/>
          <w:i/>
          <w:color w:val="231F20"/>
          <w:sz w:val="20"/>
        </w:rPr>
        <w:t>Policies</w:t>
      </w:r>
      <w:r>
        <w:rPr>
          <w:color w:val="231F20"/>
        </w:rPr>
        <w:t xml:space="preserve">” </w:t>
      </w:r>
      <w:r>
        <w:rPr>
          <w:rFonts w:ascii="Times New Roman;serif" w:hAnsi="Times New Roman;serif"/>
          <w:b w:val="false"/>
          <w:color w:val="231F20"/>
          <w:sz w:val="20"/>
        </w:rPr>
        <w:t>to our condensed 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included</w:t>
      </w:r>
      <w:r>
        <w:rPr>
          <w:color w:val="231F20"/>
        </w:rPr>
        <w:t xml:space="preserve"> </w:t>
      </w:r>
      <w:r>
        <w:rPr>
          <w:rFonts w:ascii="Times New Roman;serif" w:hAnsi="Times New Roman;serif"/>
          <w:b w:val="false"/>
          <w:color w:val="231F20"/>
          <w:sz w:val="20"/>
        </w:rPr>
        <w:t>elsewhere</w:t>
      </w:r>
      <w:r>
        <w:rPr>
          <w:color w:val="231F20"/>
        </w:rPr>
        <w:t xml:space="preserve"> </w:t>
      </w:r>
      <w:r>
        <w:rPr>
          <w:rFonts w:ascii="Times New Roman;serif" w:hAnsi="Times New Roman;serif"/>
          <w:b w:val="false"/>
          <w:color w:val="231F20"/>
          <w:sz w:val="20"/>
        </w:rPr>
        <w:t>in this</w:t>
      </w:r>
      <w:r>
        <w:rPr>
          <w:color w:val="231F20"/>
        </w:rPr>
        <w:t xml:space="preserve"> </w:t>
      </w:r>
      <w:r>
        <w:rPr>
          <w:rFonts w:ascii="Times New Roman;serif" w:hAnsi="Times New Roman;serif"/>
          <w:b w:val="false"/>
          <w:color w:val="231F20"/>
          <w:sz w:val="20"/>
        </w:rPr>
        <w:t>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Information required by this Item is not applicable as we are electing scaled disclosure requirements available to Smaller Reporting Companies with respect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319" w:before="0" w:after="200"/>
        <w:jc w:val="left"/>
        <w:rPr>
          <w:rFonts w:ascii="Times New Roman;serif" w:hAnsi="Times New Roman;serif"/>
          <w:b/>
          <w:color w:val="231F20"/>
          <w:sz w:val="20"/>
        </w:rPr>
      </w:pPr>
      <w:r>
        <w:rPr>
          <w:rFonts w:ascii="Times New Roman;serif" w:hAnsi="Times New Roman;serif"/>
          <w:b/>
          <w:color w:val="231F20"/>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judgment in evaluating the benefits of possible controls and procedures relative to their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as of June 30, 2026. Based on such evaluation, our Chief Executive Officer and Chief Financial Officer have concluded that our disclosure controls and procedures were effective at the reasonable assurance level as of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200"/>
        <w:jc w:val="left"/>
        <w:rPr>
          <w:rFonts w:ascii="Times New Roman;serif" w:hAnsi="Times New Roman;serif"/>
          <w:b/>
          <w:color w:val="231F20"/>
          <w:sz w:val="20"/>
        </w:rPr>
      </w:pPr>
      <w:r>
        <w:rPr>
          <w:rFonts w:ascii="Times New Roman;serif" w:hAnsi="Times New Roman;serif"/>
          <w:b/>
          <w:color w:val="231F20"/>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various litigation, claims and other proceedings that arise from time to time in the ordinary course of business. On October 22, 2024, a complaint was filed in federal district court in the District of Massachusetts by Y-Trap, Inc., or Y-Trap, naming as defendants us and Biocon Ltd, or Biocon, captioned Y-Trap, Inc. v. Biocon Ltd and Bicara Therapeutics Inc., No. 24-cv-12678 (D. Mass.). On January 31, 2025, Y-Trap filed its operative amended complaint. The operative complaint alleges a claim against the defendants for correction of inventorship of a number of patents based on a license from The Johns Hopkins University, including patents licensed to us relating to ficerafusp alfa. The complaint also alleges claims against defendants for unfair trade practices pursuant to Chapter 93A of the Massachusetts General Laws, unjust enrichment, and civil conspiracy. The operative complaint seeks, among other things, damages (including compensatory, enhanced, and punitive damages), an order correcting the inventorship of the patents at issue, costs and attorney’s fees, and other equitable and injunctive relief. On February 28, 2025, we and Biocon moved to dismiss all of Y-Trap’s claims. On September 30, 2025, the court denied our motion. On October 30, 2025, we answered the operative complaint, and discovery is ongoing. We will continue to vigorously defend against this 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15, 2026, the Patent Trial and Appeal Board (“PTAB”) of the United States Patent and Trademark Office instituted a post-grant review petition brought by us against The John Hopkins University, No. PGR2026-00025, concerning a patent in a family alleged to be licensed to Y-Trap, U.S. Patent 12,295,968 (“the ’968 patent”). We challenge all claims of the ’968 patent under 35 U.S.C. § 112. It is anticipated that the PTAB will issue a final written decision on or before July 14,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consider and read carefully all of the risks and uncertainties described below, as well as the other information in this Quarterly Report on Form 10-Q, including our condensed consolidated financial statements and the related notes appearing elsewhere in this Quarterly Report on Form 10-Q and the section titled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Limited Operating History, Financial Condition and Need for Additional Capital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with a limited operating history. We were formed in December 2018, and our operations to date have been limited to pre-commercial activities. We have not yet demonstrated an ability to generate revenue, obtain regulatory approval,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0" w:after="0"/>
        <w:ind w:left="0" w:right="0" w:firstLine="490"/>
        <w:jc w:val="both"/>
        <w:rPr/>
      </w:pPr>
      <w:r>
        <w:rPr/>
      </w:r>
    </w:p>
    <w:p>
      <w:pPr>
        <w:pStyle w:val="TextBody"/>
        <w:bidi w:val="0"/>
        <w:spacing w:lineRule="auto" w:line="319" w:before="0" w:after="200"/>
        <w:jc w:val="both"/>
        <w:rPr/>
      </w:pPr>
      <w:r>
        <w:rPr>
          <w:rFonts w:ascii="Times New Roman;serif" w:hAnsi="Times New Roman;serif"/>
          <w:b w:val="false"/>
          <w:color w:val="000000"/>
          <w:sz w:val="20"/>
        </w:rPr>
        <w:t>We have no products approved for commercial sale and have not generated any revenue from product sales to date. We will continue to incur significant research and development and other expenses related to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w:t>
      </w:r>
      <w:r>
        <w:rPr>
          <w:rFonts w:ascii="Times New Roman;serif" w:hAnsi="Times New Roman;serif"/>
          <w:b w:val="false"/>
          <w:color w:val="000000"/>
          <w:sz w:val="20"/>
          <w:shd w:fill="FFFFFF" w:val="clear"/>
        </w:rPr>
        <w:t>d</w:t>
      </w:r>
      <w:r>
        <w:rPr>
          <w:color w:val="000000"/>
        </w:rPr>
        <w:t xml:space="preserve"> </w:t>
      </w:r>
      <w:r>
        <w:rPr>
          <w:rFonts w:ascii="Times New Roman;serif" w:hAnsi="Times New Roman;serif"/>
          <w:b w:val="false"/>
          <w:color w:val="000000"/>
          <w:sz w:val="20"/>
        </w:rPr>
        <w:t>$55.4 million a</w:t>
      </w:r>
      <w:r>
        <w:rPr>
          <w:rFonts w:ascii="Times New Roman;serif" w:hAnsi="Times New Roman;serif"/>
          <w:b w:val="false"/>
          <w:color w:val="000000"/>
          <w:sz w:val="20"/>
          <w:shd w:fill="FFFFFF" w:val="clear"/>
        </w:rPr>
        <w:t xml:space="preserve">nd </w:t>
      </w:r>
      <w:r>
        <w:rPr>
          <w:rFonts w:ascii="Times New Roman;serif" w:hAnsi="Times New Roman;serif"/>
          <w:b w:val="false"/>
          <w:color w:val="000000"/>
          <w:sz w:val="20"/>
        </w:rPr>
        <w:t>$27.4 million</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months ended June 30, 2026 and 2025, respectively and $111.6 million and $64.2 million for the six months ended June 30, 2026 and 2025, respectively. As of June 30, 2026, we have not yet generated revenues. We expect to continue to incur significant losses for the foreseeable future, and we expect these losses to increase as we continue our research and development of, and seek regulatory approvals for, ficerafusp alfa. </w:t>
      </w:r>
    </w:p>
    <w:p>
      <w:pPr>
        <w:pStyle w:val="TextBody"/>
        <w:bidi w:val="0"/>
        <w:spacing w:before="0" w:after="0"/>
        <w:ind w:left="0" w:right="0" w:firstLine="490"/>
        <w:jc w:val="both"/>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if, and as, we: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advance ficerafusp alfa through clinical development;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seek regulatory approvals for ficerafusp alfa and any of our future product candidates that successfully complete clinical trials;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hire additional clinical, quality control, medical, scientific and other technical personnel to support the clinical development of ficerafusp alfa and any future product candidate;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experience an increase in headcount as we expand our market development and pre-commercial planning activities;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undertake any pre-commercial or commercial activities to establish sales, marketing and distribution capabilities;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advance any future product candidates into clinical development;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seek to identify, acquire and develop additional product candidates, including through business development efforts to invest in or in-license other technologies or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maintain, expand and protect our intellectual property portfolio;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make any payments due under our license agreements and any potential milestones, royalties or other payments due under any future in-license or collaboration agreements; and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make milestone, royalty, interest or other payments due under any future financing or other arrangements with third parties. </w:t>
      </w:r>
    </w:p>
    <w:p>
      <w:pPr>
        <w:pStyle w:val="TextBody"/>
        <w:bidi w:val="0"/>
        <w:spacing w:before="0" w:after="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expenses could increase beyond our expectations if we are required by the U.S. Food and Drug Administration, or the FDA, Health Canada, the European Medicines Agency, or the EMA,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If we are unable to raise capital when needed, or on acceptable terms, we may be unable to complete the development and commercialization of ficerafusp alfa or any future product candidates.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ficerafusp alfa. Even if ficerafusp alfa or any future product candidates are approved for commercial sale, we anticipate incurring significant costs associated with commercializing any approved product candidate. To date, we have funded our operations principally through our initial public offering, or our IPO, our ATM Program (as defined below), the February 2026 Offering (as defined below), and private financings and may in the future fund operations through additional sales of our securities, including under our ATM Program. We expect our expenses to increase in connection with our ongoing activities, particularly as we continue the clinical development of ficerafusp alfa, continue to develop and deploy our bifunctional approach, commence additional preclinical studies and clinical trials, and continue to identify and develop additional product candidates either through internal development or through acquisitions or in-licensing product candidates.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rPr>
        <w:t xml:space="preserve">As of June 30, 2026, we had </w:t>
      </w:r>
      <w:r>
        <w:rPr>
          <w:rFonts w:ascii="Times New Roman;serif" w:hAnsi="Times New Roman;serif"/>
          <w:b w:val="false"/>
          <w:color w:val="000000"/>
          <w:sz w:val="20"/>
          <w:shd w:fill="FFFFFF" w:val="clear"/>
        </w:rPr>
        <w:t>$497.3 million</w:t>
      </w:r>
      <w:r>
        <w:rPr>
          <w:color w:val="000000"/>
        </w:rPr>
        <w:t xml:space="preserve"> </w:t>
      </w:r>
      <w:r>
        <w:rPr>
          <w:rFonts w:ascii="Times New Roman;serif" w:hAnsi="Times New Roman;serif"/>
          <w:b w:val="false"/>
          <w:color w:val="000000"/>
          <w:sz w:val="20"/>
        </w:rPr>
        <w:t xml:space="preserve">of cash, cash equivalents and marketable securities. Based upon our current operating plan, we believe that our existing cash, cash equivalents and marketable securities will enable us to fund our operating expenses and capital expenditure requirements into the first half of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ficerafusp alfa. Our future capital requirements will depend on many factors, including but not limited to: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scope, timing, progress, costs and results of clinical trials for ficerafusp alfa or the discovery and preclinical development of any future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clinical trials required for regulatory approval of ficerafusp alfa or future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timing and outcome of regulatory review of ficerafusp alfa or any future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associated with acquiring or licensing additional product candidates, technologies or assets, including the timing and amount of any milestones, royalties or other payments due in connection with our acquisitions and licenses;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 of manufacturing clinical and commercial supplies of ficerafusp alfa or any future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effectiveness of our approach at identifying target patient populations and utilizing our approach to enrich our patient population in our clinical trials;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and timing of future commercialization activities, including manufacturing, marketing, sales and distribution, for any of our product candidates for which we receive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revenue, if any, received from commercial sales of our product candidates for which we receive marketing approval;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expenses to attract, hire and retain skilled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establish a commercially viable pricing structure and obtain approval for coverage and adequate reimbursement from third-party and government payors;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 of macroeconomic trends including inflation and rising interest rates;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addressing any potential supply chain interruptions or delays;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 of competing technological and market developments;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extent to which we acquire or invest in business, products and technologies.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research and development of product candidates, we may not be able to accurately predict the timing or amount of our working capital requirements. In addition, if we obtain regulatory approval for ficerafusp alfa, we expect to incur significant commercialization expenses related to product manufacturing, marketing, sales and distribution which make it difficult to predict when or if we will be able to achieve or maintain profitability. Furthermore, we expect to continue to incur increased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ficerafusp alfa. </w:t>
      </w:r>
    </w:p>
    <w:p>
      <w:pPr>
        <w:pStyle w:val="TextBody"/>
        <w:bidi w:val="0"/>
        <w:spacing w:lineRule="auto" w:line="319" w:before="0" w:after="200"/>
        <w:jc w:val="both"/>
        <w:rPr/>
      </w:pPr>
      <w:r>
        <w:rPr>
          <w:rFonts w:ascii="Times New Roman;serif" w:hAnsi="Times New Roman;serif"/>
          <w:b w:val="false"/>
          <w:color w:val="000000"/>
          <w:sz w:val="20"/>
        </w:rPr>
        <w:t xml:space="preserve">Until such time, if ever, as we can generate substantial product revenue, we expect to finance our operations with our existing cash, cash equivalents and marketable securities, the net proceeds from our IPO, sales of our common stock under our ATM Program, marketable securities, equity financings, or any future equity or debt financings and upfront and milestone and royalties payments, if any, received under any future licenses or collaborations. In the future,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In October 2025, we filed a Registration Statement pursuant to which we may issue up to $400.0 million in shares of our common stock, preferred stock, debt securities, warrants and/or units. Concurrent with the filing of the Registration Statement, we entered into a common stock sales agreement, dated October 3, 2025, by and between the Company and TD Securities (USA) LLC, acting as the sales agent, to establish an at-the-market offering program pursuant to which we may offer and sell shares of our common stock from time to time, or the ATM Program. In connection with the ATM Program, we filed a prospectus with the Registration Statement for the offer and sale of up to $150.0 million of shares of common stock from time to time through the sales agents, or the ATM Prospectus. As of June 30, 2026, we have sold 1,604,000 shares of common stock under our ATM Program for aggregate net proceeds to us of $29.5 million. In February 2026, we entered into an underwriting agreement with Morgan Stanley &amp; Co. LLC, TD Securities (USA) LLC and BofA Securities, Inc., as representatives of the underwriters named therein, pursuant to which we issued and sold an aggregate of 8,581,250 shares of our common stock at a price to the public of $16.00 per share, which included full exercise of the underwriters’ option to purchase 1,406,250 additional shares, and pre-funded warrants to purchase up to 2,200,000 shares of common stock to the underwriters at a public offering price of $15.9999 per pre-funded warrant, or the February 2026 Offering. The February 2026 Offering resulted in net proceeds to us of approximately $161.8 million. </w:t>
      </w:r>
      <w:r>
        <w:rPr>
          <w:rFonts w:ascii="Times New Roman;serif" w:hAnsi="Times New Roman;serif"/>
          <w:b w:val="false"/>
          <w:color w:val="231F20"/>
          <w:sz w:val="20"/>
        </w:rPr>
        <w:t>As market conditions permit, we may offer and sell securities under the Registration Statement, including through the ATM Program or additional equity financings, which may cause dilution to our stockholders or impact the market price of our common stock.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in the future, we may have to relinquish valuable rights to our intellectual property, technologies,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the majority of our cash, cash equivalents and marketable securities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cash equivalents and marketable securities,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Operations and Industry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business is highly dependent on the success of ficerafusp alfa. If we are unable to successfully complete clinical development, obtain regulatory approval for or commercialize ficerafusp alfa, or if we experience delays in doing so, our business will be materially harmed.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date, as an organization, we have not completed the development of any product candidates, and ficerafusp alfa remains in clinical development. Our future success and ability to generate revenue from ficerafusp alfa is dependent on our ability to successfully develop and commercialize ficerafusp alfa or any of our future product candidates. If any of our product candidates encounters safety or efficacy problems, development delays or regulatory issues or other problems, our development plans and business would be materially harmed.</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have the financial resources to continue development of ficerafusp alfa if we experience any issues that delay or prevent regulatory approval of, or our ability to commercialize, ficerafusp alfa, including: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demonstrate to the satisfaction of the FDA, Health Canada, the EMA or other comparable regulatory authorities that ficerafusp alfa is safe and effective;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delays or failure in obtaining the necessary approvals from regulators to commence a clinical trial or a suspension, termination, or hold, of a clinical trial once commenced;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conditions imposed by the FDA, Health Canada, the EMA or other comparable regulatory authorities regarding the scope or design of our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or failures in reaching agreement on acceptable terms with clinical trial sites or contract research organizations, or CROs;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poor effectiveness of ficerafusp alfa during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better than expected performance of control arms, such as placebo groups, which could lead to negative or inconclusive results from our clinical trials;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higher than anticipated clinical trial or manufacturing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unfavorable FDA, Health Canada, the EMA or other comparable regulatory authority inspection and review of our clinical trial sites;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failure of our CROs, clinical trial sites, or investigators to comply with regulatory requirements or the clinical trial protocol or otherwise meet their contractual obligations in a timely manner, or at all;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varying interpretations of data by the FDA, Health Canada, the EMA and other comparable regulatory authorities.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face significant competition from other biotechnology and pharmaceutical companies, and our operating results will suffer if we fail to compete effectively.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biotechnology industry is intensely competitive and subject to rapid and significant technological change. ficerafusp alfa or any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resources being concentrated among a smaller number of our competitors. As a result of all of these factors, our competitors may succeed in obtaining patent protection and/or FDA, Health Canada, the EMA or other regulatory approval or discovering, developing and commercializing products in our field before we do, which could result in our competitors establishing a strong market position before we are able to enter the market.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may obtain FDA, Health Canada, the EMA or other regulatory approval of their product candidates more rapidly than we may or may obtain patent protection or other intellectual property rights that limit our ability to develop or commercialize ficerafusp alfa. Our competitors may also develop drugs or discovery platforms that are more effective, more convenient, more widely used or less costly than ficerafusp alfa or, in the case of drugs, have a better safety profile than ficerafusp alfa. These competitors may also be more successful than us in manufacturing and marketing their products and have significantly greater financial resources and expertise in research and development.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There are a large number of companies developing or marketing treatments for cancer, including many major pharmaceutical and biotechnology companies. In addition, numerous compounds are in clinical development for cancer treatment. Many of these companies are well-capitalized and have significant clinical experience. More specifically, we expect to compete with commercially available therapies for the treatment of head and neck squamous cell carcinoma, or HNSCC, including pembrolizumab (marketed as Keytruda by Merck &amp; Co); the combination of pembrolizumab, platinum chemotherapy and 5-fluorouracil; and the combination of cetuximab (marketed as Erbitux by Eli Lilly &amp; Company in the U.S. and by Merck KGaA outside of the U.S.), platinum chemotherapy and 5-fluorouracil. In addition, there are numerous companies that are developing new treatments for HNSCC, including but not limited to Akeso, Inc., AstraZeneca PLC, AVEO Pharmaceuticals, Inc., BioAtla Inc., BioNTech SE, Corbus Pharmaceuticals Holdings Inc., GSK plc, InhibRx Biosciences, Inc., Johnson &amp; Johnson, Merus N.V. (a Genmab A/S company), PDS Biotechnology Corp, Pyxis Oncology, Inc., and Rakuten Medical, Inc.</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ficerafusp alfa and any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ficerafusp alfa obsolete, less competitive or uneconomical.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ficerafusp alfa. Even if ficerafusp alfa achieves marketing approval, it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initial focus is the development of ficerafusp alfa in HNSCC and, more generally, we seek to bring transformative bifunctional therapies to patients with solid tumors. We are currently conducting our Phase 2/3 FORTIFI-HN01 pivotal trial of ficerafusp alfa in combination with pembrolizumab in first-line, or 1L, recurrent/metastatic, or R/M, human papillomavirus, or HPV, -negative HNSCC, as well as evaluating ficerafusp alfa in multiple Phase 1b expansion cohorts. In addition, we have initiated an alternate dose study to evaluate ficerafusp alfa with a loading and every-three-week maintenance regimen.</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collaboration, licensing or royalty arrangements in cases in which it would have been advantageous for us to invest additional resources to retain sole development and commercialization rights.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difficulty assimilating or integrating acquired or licensed technologies, products, employees or business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issues maintaining uniform standards, procedures, controls and policies;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unanticipated costs associated with acquisitions or strategic alliances, including the assumption of unknown or contingent liabilities and the incurrence of debt or future write-offs of intangible assets or goodwill;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diversion of management’s attention from our core business and disruption of ongoing operations;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effects on existing business relationships with suppliers, sales agents, health care facilities, surgeons and other health care providers;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associated with entering new markets in which we have limited or no experience;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losses related to investments in other companies;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loss of key employees of acquired businesses;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increased legal and accounting compliance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and vendors may engage in misconduct or other improper activities, including noncompliance with regulatory standards and requirements.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illegal activity by our current and any future employees, independent contractors, consultants, contract manufacturing organizations, or CMOs, and vendors. Misconduct by these parties could include intentional, reckless, and/or negligent conduct that fails to comply with FDA, Health Canada, the EMA or other regulations, provide true, complete and accurate information to the FDA, Health Canada, the EMA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legislative and regulatory framework for the collection, use, safeguarding, sharing, transfer and other processing of personal information worldwide is rapidly evolving and is likely to remain uncertain for the foreseeable future. Globally, several jurisdictions, including those in which we operate or collect personal information, have established their own data security and privacy frameworks with which we must comply.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service providers. In particular, regulations promulgated pursuant to the federal Health Insurance Portability and Accountability Act of 1996, or HIPAA, establish privacy and security standards that limit the use and disclosure of individually identifiable health information, or protected health information,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payors, and others that have HIPAA compliance obligations. 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or HHS, enforcement activity can result in financial liability and reputational harm, and responses to such enforcement activity can consume significant internal resources.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state level, numerous states have enacted comprehensive data privacy and security laws, rules and regulations while other states have enacted laws focused on more narrow aspects of privacy. The existence of comprehensive privacy laws in different states in the country would make our compliance obligations more complex and costly and may increase the likelihood that we may be subject to enforcement actions or otherwise incur liability for noncompliance. Additionally, some states have passed laws focused specifically on health privacy.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In addition, other states have proposed and/or passed legislation that regulates the privacy and/or security of certain specific types of information. For example, a small number of states, including Illinois and Texas, have passed laws that regulate biometric data specifically. Although many of the existing state privacy laws exempt clinical trial information and health information governed by HIPAA, future privacy and data protection laws may be broader in scope. These various privacy and security laws may impact our business activities, including our identification of research subjects, relationships with business partners and ultimately the marketing and distribution of our products.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If we conduct clinical trials in the European Economic Area, or the EEA, and/or the United Kingdom, or the U.K., we will be subject to additional, more stringent privacy laws in other jurisdictions, such as the General Data Protection Regulation, or the EU GDPR, as well as other national data protection legislation in force in relevant EU Member States, with respect to the EEA, and the U.K. General Data Protection Regulation, or the U.K. GDPR, with respect to the U.K. We refer to the U.K. GDPR together with the EU GDPR as the “GDPR.” The GDPR is wide-ranging in scope and imposes numerous requirements on companies that process personal data, including strict requirements relating to processing of sensitive data (such as health data), ensuring there is a legal basis or condition to justify the processing of personal data, where required strict requirements relating to obtaining consent of individuals, disclosures about how personal information is to be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limitations on retention of information, implementing safeguards to protect the security and confidentiality of personal data, where required providing notification of data breaches, maintaining records of processing activities, documenting data protection impact assessments where there is high risk processing and taking certain measures when engaging third-party processors.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GDPR also imposes strict rules on the transfer of personal data to countries outside the EEA or the U.K., including the United States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subject to GDPR, we will be required to put in place mechanisms to ensure compliance, including as implemented by national laws of EU Member States which may partially deviate from the EU GDPR and impose different and more restrictive obligations from country to country.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U.K. GDPR and the U.K. Data Protection Act 2018 set out the U.K.’s data protection regime, which is independent from but, currently, aligned to the EU’s data protection regime. The European Commission has adopted an adequacy decision in respect of transfers of personal data to the U.K.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or the DUAA, on June 19,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will be required to implement adequate safeguards to enable the transfer of personal data outside of the EEA or the U.K., in particular to the U.S., in compliance with the GDPR. In some cases, we may rely upon the European Commission’s approved standard contractual clauses to legitimize transfers of personal data out of the EEA from controllers or processors established outside the EEA (and not subject to the GDPR). The U.K. is not subject to the European Commission’s standard contractual clauses but has published its own transfer mechanism, the International Data Transfer Addendum/Agreement, which enables transfers from the U.K. Changes with respect to any of these matters may lead to additional costs and increase our overall risk exposure. The EU and U.S. have adopted its adequacy decision for the EU U.S. Data Privacy Framework, or the Framework, which entered into force on July 11, 2023. This Framework provides that the protection of personal data transferred between the EU and certified companies in the U.S. is comparable to that offered in the EU. Moreover, the U.K. Government adopted the Data Protection (Adequacy) Regulations 2023, also referred to as the “UK-U.S. Data Bridge”, which, since October 12, 2023 allows companies to transfer personal data from the U.K. to the U.S. on the basis of the Framework. This provides a further avenue to ensuring transfers to the U.S. are carried out in line with GDPR. However, the long-term validity of the Framework remains uncertain and it has already been challenged before European courts.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Additionally, the NIS 2 Directive, or NIS 2, is replacing the cybersecurity legal framework under the current NIS framework in the EU,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w:t>
      </w:r>
      <w:r>
        <w:rPr>
          <w:color w:val="231F20"/>
        </w:rPr>
        <w:t>’</w:t>
      </w:r>
      <w:r>
        <w:rPr>
          <w:rFonts w:ascii="Times New Roman;serif" w:hAnsi="Times New Roman;serif"/>
          <w:b w:val="false"/>
          <w:color w:val="000000"/>
          <w:sz w:val="20"/>
        </w:rPr>
        <w:t xml:space="preserve">s compliance with NIS 2, requires covered organizations to put in place certain cyber risk management measures, strengthens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incident reporting requirements and provides supervisory authorities with a greater oversight. The majority of obligations will come into force when national legislation implementing NIS 2 becomes effective in the relevant EU Member State. EU Member States had until October 17, 2024 to transpose NIS 2 into national legislation, although some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proprietary information, the value of ficerafusp alfa could be adversely affected.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patent protection, we also rely on other proprietary rights, including protection of trade secrets and/or confidential know-how, unpatented know-how and/or other proprietary information. We may rely on other proprietary rights, including protection of trade secrets, confidential know-how, unpatented know-how and/or other proprietary information to protect ficerafusp alfa, especially where patent protection is believed to be of limited value. However, trade secrets and/or confidential know-how are difficult to maintain as confidential. To maintain the confidentiality of this type of information, it is our policy to enter into confidentiality agreements with our employees, consultants, advisors, collaborators, contractors (including CROs),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intentionally or unintentionally.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The disclosure of our trade secrets could impair our competitive position and may materially harm our business, financial condition and results of operations.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Enforcing a claim that a third party obtained illegally and is using trade secrets and/or confidential know-how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others may independently discover or develop our trade secrets and proprietary information, and the existence of our own trade secrets affords no protection against such independent discovery. Such persons may even 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 xml:space="preserve">The use of new and evolving technologies, such as artificial intelligence, or AI, in our operations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and integrate AI into our operations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seen increasing government and supranational regulation related to AI use and ethics, which may significantly increase the burden and cost of research, development and compliance in this area. For example, the EU began implementing the Artificial Intelligence Act, or the AI Act, on August 1, 2024. Certain provisions have already become applicable, including the prohibitions on certain AI practices and obligations relating to general-purpose AI models. Most remaining provisions apply from August 2, 2026, although the application of certain rules for high-risk AI systems has been deferred until December 2, 2027 (or, for certain product-embedded AI systems, August 2, 2028). As currently enacted, the AI Act, which may be amended as part of the EU’s Digital Omnibus, imposes significant obligations on providers and deployers of high 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deploy AI systems that are governed by these laws or regulations, we may be required to adopt higher standards of data quality, transparency, and human oversight, and adhere to specific and potentially burdensome and costly ethical, accountability, and administrative requirements.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ficerafusp alfa or Future Product Candidates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Our business is dependent on our ability to advance ficerafusp alfa and future product candidates through clinical trials, obtain marketing approval and ultimately commercialize them.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product revenues, which we do not expect will occur for several years, if ever, will depend heavily on the successful development and eventual regulatory approval and commercialization of ficerafusp alfa or any future product candidates we develop, which may never occur. Our current product candidate, ficerafusp alfa, remains in clinical development. Ficerafusp alfa and any future product candidates we develop will require additional preclinical or clinical development, management of clinical, preclinical and manufacturing activities, marketing approval in the U.S., Canada and other jurisdictions, demonstration of effectiveness to pricing and reimbursement authorities, sufficient manufacturing supply for both preclinical and clinical development and commercial production, building of a commercial organization and substantial investment and significant marketing efforts before we generate any revenues from product sales.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and commercial success of ficerafusp alfa and any future product candidates will depend on several factors, including the following: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timely and successful completion of our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sufficiency of our financial and other resources to complete the necessary clinical trials and any additional preclinical studies;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our plans to successfully submit new Investigational New Drug, or IND, applications with the FDA for ficerafusp alfa and any future product candidates;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successful enrollment in, and completion of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successful data from our clinical program that supports an acceptable risk-benefit profile of our product candidates in the intended patient populations;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establish agreements with third-party manufacturers on a timely and cost-efficient manner;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whether we are required by the FDA, Health Canada, the EMA or comparable foreign regulatory authorities to conduct additional clinical trials or other studies beyond those planned or anticipated to support approval of our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acceptance of our proposed indications and the primary endpoint assessments evaluated in the clinical trials of our product candidates by the FDA and comparable foreign regulatory authorities;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receipt and maintenance of timely marketing approvals from applicable regulatory authorities;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successfully launching commercial sales of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prevalence, duration and severity of potential side effects or other safety issues experienced with our product candidates, if approved;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entry into collaborations to further the development of our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obtaining and maintaining patent and trade secret protection or regulatory exclusivity for our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acceptance of the benefits and uses of our product candidates, if approved, by patients, the medical community and third-party payors;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maintaining a continued acceptable safety, tolerability and efficacy profile of any product candidates following approval;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competing effectively with other therapies;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obtaining and maintaining healthcare coverage and adequate reimbursement from third-party payors;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enforcing and defending intellectual property rights and claims.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factors, many of which are beyond our control, could cause us to fall behind our competitors, experience significant delays or an inability to obtain regulatory approvals or commercialize ficerafusp alfa or future product candidates, and could otherwise materially harm our business. Successful completion of preclinical studies and clinical trials does not mean that ficerafusp alfa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ficerafusp alfa or any future product candidate, we may not be able to continue our business operations or achieve profitability.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Clinical development involves a lengthy and expensive process with uncertain outcomes. We may incur additional costs and experience delays in developing and commercializing or be unable to develop or commercialize ficerafusp alfa and any future product candidates.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obtain the requisite regulatory approvals to commercialize any of our product candidates, we must demonstrate through extensive preclinical studies and clinical trials that our product candidates are safe, pure and potent in humans and have a favorable risk-benefit profile. Clinical trials are expensive and can take many years to complete, with a highly uncertain outcome. Failure can occur at any time during the clinical trial process and our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ficerafusp alfa or any other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results from preclinical studies or clinical trials may not be predictive of results from later clinical trials of any product candidate;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Health Canada, the EMA or other regulatory authorities, Institutional Review Boards, or IRBs, or independent ethics committees may not authorize us or our investigators to commence a clinical trial or conduct a clinical trial at a prospective trial site;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Health Canada, the EMA or regulatory authorities may require us to submit additional data such as long-term toxicology studies, or impose other requirements on us, before permitting us to initiate a clinical trial;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experience delays in reaching, or fail to reach, agreement on acceptable terms with prospective trial sites and prospective CROs, as the terms of these agreements can be subject to extensive negotiation and vary significantly among different CROs and trial sites;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enrollment in these clinical trials may be slower than we anticipate or participants may drop out of these clinical trials or may fail to return for post-treatment follow-up at a higher rate than we anticipate;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any of our product candidates could cause undesirable side effects that could result in significant negative consequences, including the inability to enter clinical development or receive regulatory approval;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 of preclinical or nonclinical testing and studies and clinical trials of any product candidates may be greater than we anticipate;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supply, quality or timeliness of delivery of materials for product candidates we develop or other materials necessary to conduct clinical trials may be insufficient or inadequate; and </w:t>
      </w:r>
    </w:p>
    <w:p>
      <w:pPr>
        <w:pStyle w:val="TextBody"/>
        <w:bidi w:val="0"/>
        <w:spacing w:lineRule="auto" w:line="268" w:before="0" w:after="200"/>
        <w:ind w:left="0" w:right="0" w:hanging="360"/>
        <w:jc w:val="both"/>
        <w:rPr/>
      </w:pPr>
      <w:r>
        <w:rPr>
          <w:color w:val="000000"/>
        </w:rPr>
        <w:t>•</w:t>
      </w:r>
      <w:r>
        <w:rPr>
          <w:rFonts w:ascii="Times New Roman;serif" w:hAnsi="Times New Roman;serif"/>
          <w:b w:val="false"/>
          <w:color w:val="000000"/>
          <w:sz w:val="20"/>
        </w:rPr>
        <w:t xml:space="preserve">we may need to change the manufacturing site and potentially the CMO for our product candidates from those that are able to produce clinical supply for our clinical trials to those with the capacity and ability to perform commercial manufacturing and/or the production of clinical material for our later stage clinical trials.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We could encounter delays if a clinical trial is suspended or terminated by us, or by the IRBs of the institutions in which such trials are being conducted, ethics committees or the Data and Safety Monitoring Board, or the DSMB, for such trial or by the FDA, Health Canada, competent authorities in the EU, the Medicines and Healthcare Products Regulatory Agency, or the MHRA,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Health Canada, competent authorities in the EU, the MHRA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Health Canada, the EMA or other regulatory authorities may change the requirements for approval even after they have reviewed and commented on the design for our clinical trials. Further, the FDA, Health Canada, the EMA or other regulatory authorities may disagree with our clinical trial design and our interpretation of data from clinical trials. For example, we are conducting and may in the future conduct additional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may be subject to a “patient bias” where patients perceive their symptoms to have improved merely due to their awareness of receiving an experimental 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For example, in our ongoing Phase 1/1b trial, objective response rate as determined using RECIST 1.1 criteria is assessed by the trial investigators who may be aware of the trial treatment, patient history or other information that could impact their choices in applying the rules and conventions of RECIST 1.1. The published literature demonstrates a consistent decrease in response rate when investigator assessed response rates are verified by independent radiology review.</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investigators for our clinical trials may serve as scientific advisors or consultants to us from time to time and may receive cash or other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ficerafusp alfa or any future product candidates.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 </w:t>
      </w:r>
    </w:p>
    <w:p>
      <w:pPr>
        <w:pStyle w:val="TextBody"/>
        <w:bidi w:val="0"/>
        <w:spacing w:before="0" w:after="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are currently conducting, and may in the future conduct, clinical trials for ficerafusp alfa or any future product candidates outside the U.S., and the FDA and comparable foreign regulatory authorities may not accept data from such trials.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conducting, and may in the future conduct, clinical trials for ficerafusp alfa or any future product candidates outside the U.S., and the FDA and comparable foreign regulatory authorities may not accept data from such trials. We are currently conducting clinical trials in the U.S. and Canada, and we expect to continue to conduct trials internationally in the future. The acceptance of data from clinical trials conducted outside the U.S. or another jurisdiction by the FDA, Health Canada, the EMA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Health Canada, the EMA or any comparable foreign regulatory authority will accept data from trials conducted outside of the U.S. or the applicable jurisdiction. If the FDA, Health Canada, the EMA or any comparable foreign regulatory authority does not accept such data, it would result in the need for additional trials, which could be costly and time-consuming, and which may result in ficerafusp alfa or any future product candidates that we may develop being delayed or not receiving approval for commercialization in the applicable jurisdiction.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Preclinical studies and early-stage clinical trials are primarily designed to (i) test safety, (ii) study pharmacokinetics and pharmacodynamics and (iii)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ficerafusp alfa or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 If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Ficerafusp alfa or any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biological products, use of ficerafusp alfa or any future product candidates could be associated with side effects or adverse events which can vary in severity from minor reactions to death and in frequency from infrequent to prevalent. There have been serious adverse side effects reported in response to product therapeutics and bispecifics in oncology.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EGFR-targeted drugs have been observed to cause side effects, predominantly related to skin toxicity and rash, and TGF-β inhibitors have been shown to have side effects primarily related to bleeding. While we have observed these side effects during our studies, the severity of these has been minimal but additional or more severe treatment-related side effects may emerge at a later time in our trials.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 Additionally, we may be required to repeat or conduct additional clinical trials or nonclinical studies for our product candidates beyond those that we currently contemplate. There can be no assurance that ficerafusp alfa or any future product candidates will not demonstrate unacceptable toxicities in later testing that may render it unsafe or intolerable.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unacceptable side effects arise in the development of our product candidates, we, the FDA, the IRBs at the institutions in which our trials are conducted or the DSMB could suspend or terminate our clinical trials or the FDA, Health Canada, the EMA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ficerafusp alfa and future product candidates have undergone and will undergo safety testing to the extent possible and, where applicable, under such conditions discussed with regulatory authorities, not all adverse effects of drugs can be predicted or anticipated. Antibody therapeutics and bispecifics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ficerafusp alfa is safe in humans, and we cannot predict if ongoing or future clinical trials will do so. If ficerafusp alfa or any future product candidates fail to demonstrate safety and efficacy in clinical trials or do not gain marketing approval, we will not be able to generate revenue and our business will be harmed.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intend to pursue our product candidates in combination with other therapies and may develop future product candidates in combination with other therapies, which exposes us to additional risks relating to undesirable side effects or other properties. For example, the other therapies may lead to toxicities that are improperly attributed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product candidates or the combination of our product candidates with other therapies may result in toxicities that the product candidate or other therapy does not produce when used alone. </w:t>
      </w:r>
    </w:p>
    <w:p>
      <w:pPr>
        <w:pStyle w:val="TextBody"/>
        <w:bidi w:val="0"/>
        <w:spacing w:before="0" w:after="0"/>
        <w:ind w:left="0" w:right="0" w:firstLine="49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Even if we successfully advance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successfully develop a product candidate and it receives marketing approval, the FDA could require us to adopt a REMS to ensure that the benefits of treatment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If any of our product candidates receives marketing approval, and we or others later identify undesirable side effects caused by such products, a number of potentially significant negative consequences could result,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regulatory authorities may limit, suspend, or withdraw their approval of the product or may refuse to approve supplemental applications for such product;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required to recall a product or change the way such product is administered to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required to implement a REMS or create a medication guide outlining the risks of such side effects for distribution to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antibody therapeutic development approach generally prove to be unsafe, our entire technology platform and pipeline could be affected, which would also materially harm our business.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delayed timelines.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design and implementation of clinical trials is a complex process.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trial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Consequently, we may be unable to successfully and efficiently execute and complete clinical trials that are required for Biologics License Application, or BLA, submission and FDA approval of ficerafusp alfa or any future product candidates. We may require more time and incur greater costs than our competitors and may not succeed in obtaining regulatory approvals of product candidates that we develop.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If we or our collaborators encounter difficulties enrolling patients in our clinical trials, our clinical development activities could be delayed or otherwise be adversely affected.</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nature and size of the patient population required for analysis of the trial’s primary endpoints and the process for identifying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and location of participating and available clinical sites or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inability, or failure to add new clinical trial sites;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design of the trial;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availability of competing commercially available therapies;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obtain and maintain patient informed consents for participation in our clinical trials;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clinical trials will compete with other clinical trials for product candidates that are in the same therapeutic areas as our current and potential future product candidates. It is also likely that we may compete with competitors developing product candidates in the same therapeutic areas for clinical trial sites.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Delays of difficulties in patient enrollment may result in increased costs or may affect the timing, outcome or completion of clinical trials, which would adversely affect our ability to advance the development of the product candidates we develop.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Preclinical development is uncertain. Any preclinical programs we pursue may experience delays or may never advance to clinical trials, which would adversely affect our ability to obtain regulatory approvals or commercialize these programs on a timely basis or at all.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ficerafusp alfa or any future product candidates. As a result, we cannot be sure that we will be able to submit INDs or similar applications for our preclinical programs on the timelines we expect, if at all, and we cannot be sure that submission of INDs or similar applications will result in the FDA, Health Canada, the EMA, the MHRA or other regulatory authorities allowing clinical trials to begin.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 commencement and rate of completion of preclinical studies and clinical trials for a product candidate may be delayed by many factors, including but not limited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an inability to generate sufficient preclinical or other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data to support the initiation of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reaching a consensus with regulatory agencies on trial design;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Health Canada, the EMA or foreign regulatory authorities not permitting the reliance on preclinical or other data from published scientific literature.</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Failure to successfully develop and commercialize companion diagnostics with third party contractors for use with our product candidates could harm our ability to commercialize our product candidates.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engaged a third party and may engage additional third parties to develop companion diagnostics for our product candidates. At least in some cases, the FDA and similar regulatory authorities outside the United States may request or require the development and regulatory approval of a companion diagnostic as a condition to approving one or more of our product candidates. Companion diagnostics are subject to regulation by the FDA and comparable foreign regulatory authorities as medical devices and require separate clearance or approval prior to their commercialization. We do not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experience or capabilities in developing or commercializing diagnostics and are relying, and in the future plan to continue to rely, in large part on third parties to perform these functions.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 most cases, we will likely outsource the development, production and commercialization of companion diagnostics to third parties. By outsourcing these companion diagnostics to third parties, we become dependent on the efforts of our third-party contractors to successfully develop and commercialize these companion diagnostics. Our contractors: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may not perform their obligations as expected;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may encounter production difficulties that could constrain the supply of the companion diagnostic;</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may have difficulties gaining acceptance of the use of the companion diagnostic in the clinical community;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may not commit sufficient resources to the marketing and distribution of such product;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may terminate their relationship with us.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We and our third-party collaborators may encounter difficulties in developing and obtaining approval for these companion diagnostics. Any delay or failure by us or third- party collaborators to develop or obtain regulatory approval of a companion diagnostic could delay or prevent approval of our related product candidates. Further, if any companion diagnostic for use with one of our product candidates fails to gain market acceptance, our ability to derive revenues from sales of such product candidate could be harmed. If our third-party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pStyle w:val="TextBody"/>
        <w:bidi w:val="0"/>
        <w:spacing w:before="0" w:after="20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Our Dependence On and Work with Third Parties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relied upon and plan to continue to rely upon third parties, including independent clinical investigators and third-party CROs, to conduct monitor and manage data for our preclinical studies and clinical trials.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the MHRA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Health Canada, the EMA, the MHRA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the product candidate produced under FDA’s current good manufacturing practice, or cGMP, regulations or similar foreign regulations. Our failure to comply with these regulations may require us to repeat clinical trials, which would delay the regulatory approval process.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these principal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0" w:after="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currently and in the future may depend on other third-party collaborators for the discovery, development and commercialization of ficerafusp alfa and any of our future product candidates. If our collaborations are not successful, we may not be able to capitalize on the market potential of these product candidates.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collaborations with MSD International GmbH, or MSDIG, and MSD International Business GmbH, or MSDIB, and collectively with MSDIG, MSD and Biocon Ltd, or Biocon. In the future, we may form or seek other strategic alliances, joint ventures or collaborations, or enter into licensing arrangements with third parties that we believe will complement or augment our development and commercialization efforts with respect to product candidates we develop. Our current and potential future collaborations involving our product candidates may pose various risks to us, including: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collaborators may have significant discretion in determining the efforts and resources that they will apply to these collaborations;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our products or product candidates;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collaborators may infringe the intellectual property rights of third parties, which may expose us to litigation and potential liability;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 collaborator with marketing and distribution rights to one or more of our product candidates that achieve regulatory approval may not commit sufficient resources to the marketing and distribution of such products;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a present or future collaborator of ours were to be involved in a business combination, the continued pursuit and emphasis on our product development or commercialization program under such collaboration could be delayed, diminished or terminated;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collaboration agreements may restrict our right to independently pursue new product candidates;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mutual termination of the Contract Transfer and License Agreement with Biocon could delay the commercialization of ficerafusp alfa.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future collaborations, if we enter into such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among others, could delay the development and commercialization of our product candidates, which would harm our business prospects, financial condition and results of operations.</w:t>
      </w:r>
    </w:p>
    <w:p>
      <w:pPr>
        <w:pStyle w:val="TextBody"/>
        <w:bidi w:val="0"/>
        <w:spacing w:before="0" w:after="20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currently have established collaborations and may seek to establish future collaborations, and, if we are not able to establish them on commercially reasonable terms, we may have to alter our development and commercialization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advancement of our product candidates and development programs and the potential commercialization of ficerafusp alfa and any of our future product candidates will require substantial additional cash to fund expenses. We currently collaborate with pharmaceutical and biotechnology companies with respect to development and potential commercialization of ficerafusp alfa, and we may also do so with any future product candidates. These relationships may require us to incur non-recurring and other charges, increase our near- and long-term expenditures, issue securities that dilute our existing stockholders, or disrupt our management and business.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Health Canada, the EMA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lineRule="auto" w:line="268" w:before="200" w:after="200"/>
        <w:jc w:val="both"/>
        <w:rPr>
          <w:rFonts w:ascii="Times New Roman;serif" w:hAnsi="Times New Roman;serif"/>
          <w:b/>
          <w:i/>
          <w:color w:val="000000"/>
          <w:sz w:val="20"/>
        </w:rPr>
      </w:pPr>
      <w:r>
        <w:rPr>
          <w:rFonts w:ascii="Times New Roman;serif" w:hAnsi="Times New Roman;serif"/>
          <w:b/>
          <w:i/>
          <w:color w:val="000000"/>
          <w:sz w:val="20"/>
        </w:rPr>
        <w:t>We currently rely on third-party suppliers and other third parties for production of our product candidates and our dependence on these third parties may impair the advancement of our research and development programs and the development of our product candidates. Moreover, we intend to rely on third parties to produce commercial supplies of any approved product candidate and our commercialization of any of our product candidates could be stopped, delayed or made less profitable if those third parties fail to obtain approval of the FDA, Health Canada, the EMA or comparable foreign regulatory authorities following inspection of their facilities and procedures to manufacture our product candidates, fail to provide us with sufficient quantities of a product candidate or fail to do so at acceptable timing, quality levels or prices or fail to otherwise complete their duties in compliance with their obligations to us or other parties.</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and expect to continue to rely on third-party CMOs for the supply of cGMP-grade clinical trial materials and commercial quantities of our product candidates and products, if approved. Reliance on third-party providers may expose us to more risk than if we were to manufacture product candidates ourselves. The facilities used by our CMOs to manufacture our product candidates must be approved by the FDA foreign regulatory authorities pursuant to inspections that will be conducted after we submit our BLA, to the FDA, or similar applications to foreign regulatory authorities. We have limited control over the manufacturing process of, and beyond contractual terms, we are completely dependent on our CMOs for compliance with cGMP, and applicable product tracking and tracing requirements, or similar foreign requirements for the manufacture of our product candidates. If our CMOs cannot successfully manufacture material that conforms to our specifications and the strict regulatory requirements of the FDA, Health Canada, the EMA or comparable foreign regulatory authorities, or are unable to do so in a timely manner, they will not be able to secure and/or maintain regulatory approval for their manufacturing facilities or may result in delay of our ability to obtain marketing authorization, if any, of our product candidates. In addition, we have limited control over the ability of our CMOs to maintain adequate quality control, quality assurance and qualified personnel. If the FDA, Health Canada, the EMA or a comparable foreign regulatory authority does not approve these facilities for the manufacture of our product candidates or if it withdraws any such approval in the future, we may need to find alternative manufacturing facilities, which would significantly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collaborators, our CMOs and other third parties for the manufacture, filling, storage and distribution of our product candidates means that we are subject to the risk that the products may have manufacturing defects that we have limited ability to prevent or control. The sale of products containing such defects could adversely affect our business, financial condition and results of operations.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CMOs to purchase from third-party suppliers the materials necessary to produce our product candidates for our clinical trials, and will rely on our existing and future collaborators to purchase from third-party suppliers the materials necessary to develop and produce our product candidates for future clinical trials and, upon approval, our products for commercialization. There are a limited number of suppliers for raw materials that we use to manufacture our product candidates and there may be a need to assess alternate suppliers to prevent a possible disruption of the manufacture of the materials necessary to produce our product candidates for our clinical trials, and if approved, ultimately for commercial sale. Apart from contractual measures, we do not have any control over the process or timing of the acquisition of these raw materials by our manufacturers or manufacturers paid by our collaborators. Moreover, we currently do not have any agreements for the commercial production of these raw materials. Although we generally do not begin a clinical trial unless we believe we have a sufficient supply of an product candidate to complete the clinical trial or have secured resupply capacity, any significant delay in the supply of an product candidate, or the raw material components thereof, for a planned or an ongoing clinical trial due to the need to replace a third-party manufacturer could considerably delay completion of our clinical trials, product testing and potential regulatory approval of our product candidates.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manufacturing of our product candidates is expensive and time-consuming, and generally requires more complex processes than those associated with small-molecule drugs. If we are successful in obtaining regulatory approval for any of our product candidates, we might have limited quantities of such product candidates available to us in connection with a potential commercial launch, and these supplies may be further limited by our ongoing clinical development activities. If our manufacturers, collaborators or we are unable to purchase or produce sufficient quantities of raw materials or of our product candidates after regulatory approval has been obtained for our product candidates, the commercial launch of our product candidates could be delayed or there could be a shortage in supply, which in either case, would impair our ability to generate revenues from the sale of our product candidates.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manufacturers and other subcontractors to comply with and respect the proprietary rights of others in conducting their contractual obligations for us. If our manufacturers or other subcontractors fail to acquire the proper licenses or otherwise infringe third party proprietary rights in the course of completing their contractual obligations to us, we may have to find alternative manufacturers or defend against claims of infringement, either of which would significantly impact our ability to develop, obtain regulatory approval for or market our product candidates, if approved.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The operations of our suppliers, many of which are located outside of the United States, are subject to additional risks that are beyond our control and that could harm our business, financial condition, results of operations and prospects.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rely on and engage third-party manufacturers to provide all of the drug substance and the final drug product formulation of all of our product candidates that are being used in our clinical trials and preclinical studies. Although we believe that there are several potential alternative manufacturers who could manufacture our product candidates, we primarily rely on WuXi Biologics (Hong Kong) Limited for the production of product necessary to complete our ongoing clinical trials. If an additional manufacturer became necessary in the future, we may incur added costs and delays in identifying and qualifying another manufacturer. We currently do not have any long-term supply agreements in place, though we intend to enter into such agreements as well as evaluate additional product manufacturing sources in the future. As a result of our dependence on ex-U.S. suppliers, we are subject to risks associated with doing business abroad,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geopolitical tensions, political unrest, terrorism, labor disputes and economic instability resulting in the disruption of trade from foreign countries in which our products are manufactured, particularly China;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imposition of new laws and regulations, including those relating to labor conditions,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including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greater challenges and increased costs with enforcing and periodically auditing or reviewing our suppliers’ and manufacturers’ compliance with cGMPs or status acceptable to the FDA, Health Canada, the EMA or comparable foreign regulatory authorities;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reduced protection for intellectual property rights, including trade secret protection, in some countries, particularly China;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disruptions in operations due to global, regional, or local epidemics, pandemics, public health crises or other emergencies or natural disasters;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disruptions or delays in shipments;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local economic conditions in countries where our manufacturers or suppliers are located.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the Fiscal Year 2026 National Defense Authorization Act (P.L. 119-60) was signed into law, Section 851 of which (commonly known as the BIOSECURE Act) restricts U.S. federal executive agencies, and federal contractors, grant recipients, and loan recipients, from procuring or using biotechnology equipment or services from entities designated as “biotechnology companies of concern” (BCCs) in performance of U.S. federal contracts, grants, or loans. BCCs include entities on the Department of Defense’s Section 1260H list of Chinese military companies operating in the United States (to the extent such entities are involved in the manufacturing, distribution, provision, or procurement of biotechnology equipment or services) and entities identified through a forthcoming Office of Management and Budget, or OMB, -led interagency designation process. The BIOSECURE Act’s prohibitions are subject to a multi-year implementation timeline, with the initial OMB list due by December 2026, followed by implementing guidance and Federal Acquisition Regulation rulemaking — and the substantive prohibitions are not expected to take effect until 2027 at the earliest, subject to a five-year grandfather period for certain pre-existing contractual arrangements. We do anticipate continued scrutiny on the biopharmaceutical industry's relationships with Chinese biotechnology companies, which could adversely impact our Chinese biotech business partners’ operations or financial position, and, in turn, could impair their ability to supply us with product in the future. We may also face additional manufacturing and supply-chain risks due to (i) evolving regulatory and legal requirements in China, (ii) the deterioration of the geo-political relationship between China and the U.S., including but not limited to potential sanctions imposed by the U.S. government on Chinese biotech partners, or other companies in China on whom we might rely, or (iii) similar developments affecting any of the other countries in which our products or product candidates are or are expected to be manufactured or marketed.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If any third-party manufacturer of our product candidates is unable to increase the scale of its production of our product candidates or increase the product yield of its manufacturing, then our manufacturing costs may increase and commercialization may be delayed.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need to maintain licenses for drug substances from third parties to develop and commercialize some of our product candidates, which could increase our development costs and delay our ability to commercialize those product candidates.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Should we decide to use any cell line and raw materials in any of our product candidates that are proprietary to one or more third parties, we would need to maintain licenses to those drug substances from those third parties. If we are unable to gain or continue to access rights to these drug substances prior to conducting preclinical toxicology studies intended to support clinical trials, we may need to develop alternate product candidates from these programs by either accessing or developing alternate drug substances, resulting in increased development costs and delays in commercialization of these product candidates. If we are unable to gain or maintain continued access rights to the desired drug substances on commercially reasonable terms or develop suitable alternate drug substances, we may not be able to commercialize product candidates from these programs. </w:t>
      </w:r>
    </w:p>
    <w:p>
      <w:pPr>
        <w:pStyle w:val="TextBody"/>
        <w:bidi w:val="0"/>
        <w:spacing w:before="0" w:after="200"/>
        <w:jc w:val="both"/>
        <w:rPr/>
      </w:pPr>
      <w:r>
        <w:rPr/>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The regulatory approval processes of the FDA and comparable foreign authorities are lengthy, time-consuming and inherently unpredictable, and if we are ultimately unable to obtain regulatory approval for our product candidates, our business will be materially harmed.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(or maintain approval) may change during the course of a product candidate’s clinical development and may vary among jurisdictions.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has required and will require us to continue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We are considering these and other policy changes as they relate to our programs.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obtained regulatory approval for any product candidate. Neither we nor any future collaborator is permitted to market any biological product in the U.S. until we or the future collaborator receives regulatory approval of a BLA, from the FDA. It is possible that ficerafusp alfa or any future product candidates will not obtain regulatory approval from the FDA, Health Canada, the European Commission or comparable foreign regulatory authorities. Ficerafusp alfa and any future product candidates could fail to receive regulatory approval for many reasons, including the following: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Health Canada, the EMA or comparable foreign regulatory authorities may disagree with the design or implementation of our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unable to demonstrate to the satisfaction of the FDA, Health Canada, the EMA or comparable foreign regulatory authorities that a product candidate has an acceptable risk-benefit profile in the proposed indication;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unable to demonstrate to the satisfaction of the FDA, Health Canada, the EMA or comparable foreign regulatory authorities that the facility in which a product candidate is manufactured meets standards designed to assure that the product candidate continues to be safe, pure, and potent;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results of clinical trials may not meet the level of statistical significance required by the FDA, Health Canada, the EMA or comparable foreign regulatory authorities for approval;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unable to demonstrate that a product candidate’s clinical and other benefits outweigh its safety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Health Canada, the EMA or comparable foreign regulatory authorities may disagree with our interpretation of data from clinical trials or preclinical studies;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data collected from clinical trials of our product candidates may not be sufficient to support the submission of a BLA to the FDA, Health Canada, the EMA or regulatory submissions to comparable regulatory authorities to obtain regulatory approval in such jurisdiction;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FDA, Health Canada, the EMA or comparable foreign regulatory authorities may find deficiencies with or fail to approve our manufacturing processes or facility or the manufacturing processes or facilities of third-party manufacturers with which we contract for clinical and commercial supplies.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Health Canada, the EMA or any other regulatory authority.</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 Even if we obtain regulatory approval for our product candidates, we will be required to submit new or supplemental applications and obtain approval for certain changes to the approved product, product labeling, or manufacturing process and the FDA or comparable foreign regulatory authority may refuse to approve such applications or supplements.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FDA, Health Canada, the EMA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Disruptions at the FDA and other government agencies caused by funding shortages or global health concerns could hinder their ability to hire, retain or deploy personnel, and substantial leadership, personnel and policy changes or otherwise, could prevent new or modified products from being developed, approved, or commercialized in a timely manner or at all, which could negatively impact our business.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Without the appropriation of adequate funding to federal agencies, our business operations related to our product development activities for the U.S. market could be impacted. A prolonged government shutdown could significantly impact the ability of the FDA to timely review and process our regulatory submissions, the National Institutes of Health, or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including substantial leadership, personnel, and policy changes, may also slow the time necessary for biological products or modifications to approved biological products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is substantial uncertainty as to whether and how the current administration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continue to issue or promulgate executive orders, regulations, policies or guidance that adversely affect us or create a more challenging or costly environment to pursue the development of new therapeutic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be required to suspend, repeat or terminate our clinical trials if they are not conducted in accordance with regulatory requirements, the results are negative or inconclusive or the trials are not well designed.</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Clinical trials must be conducted in accordance with GCP requirements, which are regulations and guidelines enforced by the FDA, Health Canada, the EMA and comparable foreign regulatory authorities. 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deficiencies in the conduct of the clinical trials, including failure to conduct the clinical trial in accordance with regulatory requirements or trial protocols;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deficiencies in the clinical trial operations or trial sites;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unforeseen adverse side effects or the emergence of undue risks to trial subjects;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deficiencies in the trial design necessary to demonstrate efficacy;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ficerafusp alfa may not appear to offer benefits over current therapies; or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quality or stability of ficerafusp alfa may fall below acceptable standards.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intend to develop our product candidates in part in combination with other therapies and may develop our future product candidates in combination with other therapies, which exposes us to additional regulatory risks. </w:t>
      </w:r>
    </w:p>
    <w:p>
      <w:pPr>
        <w:pStyle w:val="TextBody"/>
        <w:bidi w:val="0"/>
        <w:spacing w:before="0" w:after="0"/>
        <w:ind w:left="0" w:right="0" w:firstLine="4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develop our product candidates in part in combination with other therapies, including ficerafusp alfa in combination with pembrolizumab, and may develop ficerafusp alfa and any future product candidates in combination with one or more currently approved cancer therapies. These combinations have not been previously tested in the clinic and may, among other things, fail to demonstrate synergistic activity, may fail to achieve superior outcomes relative to the use of single agents or other combination therapies, or may fail to demonstrate sufficient safety or efficacy traits in clinical trials to enable us to complete those clinical trials or obtain marketing approval for the combination therapy.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did not develop or obtain regulatory approval for, and we do not manufacture or sell, any of these approved therapeutics.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product candidate we develop were to receive marketing approval or be commercialized for use in combination with other existing therapies, we would continue to be subject to the risk that the FDA, Health Canada, the European Commission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diseases, and we would be subject to similar risks if we develop any of our product candidates for use in combination with other drugs or for indications other than cancer.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evaluate ficerafusp alfa or any future product candidates in combination with one or more other cancer therapies that have not yet been approved for marketing by the FDA, Health Canada, the EMA or comparable foreign regulatory authorities. We will not be able to market and sell any product candidate we develop in combination with any such unapproved cancer therapies that do not ultimately obtain marketing approval.</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FDA, Health Canada, the European Commission or comparable foreign regulatory authorities do not approve these other biological products or revoke their approval of, or if safety, efficacy, manufacturing or supply issues arise with, the biological products we choose to evaluate in combination with any product candidate we develop, we may be unable to obtain approval of or market any such product candidate.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Even if we receive marketing approval of ficerafusp alfa,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marketing approvals that we may receive for ficerafusp alfa or any future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Health Canada, the EMA or a comparable foreign regulatory authority approves a product candidate, the manufacturing processes, labeling, packaging, distribution, tracking and tracing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suspension of, or imposition of restrictions on, the marketing or manufacturing of the product, withdrawal of the product from the market, or product recalls;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Warning letters or untitled letters, or holds on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refusal by the FDA to approve pending applications or supplements to approved applications we file, or suspension or revocation of approved biologics licenses;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product seizure or detention, monetary penalties, refusal to permit the import or export of the product, or placement on Import Alert;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permanent injunctions and consent decrees including the imposition of civil or criminal penalties.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nature of biological products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 </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While we intend to seek designations for our potential product candidates with the FDA and comparable foreign regulatory authorities that are intended to confer benefits such as a faster development process,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and priority review.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For example, we have received a breakthrough therapy designation for ficerafusp alfa in combination with pembrolizumab for the 1L treatment of patients with R/M HNSCC whose tumors express programmed death-ligand 1 with CPS ≥1, excluding HPV-positive oropharyngeal squamous cell carcinoma, and we may seek breakthrough therapy designation for </w:t>
      </w:r>
      <w:r>
        <w:rPr>
          <w:rFonts w:ascii="Times New Roman;serif" w:hAnsi="Times New Roman;serif"/>
          <w:b w:val="false"/>
          <w:color w:val="231F20"/>
          <w:sz w:val="20"/>
        </w:rPr>
        <w:t>ficerafusp alfa</w:t>
      </w:r>
      <w:r>
        <w:rPr>
          <w:color w:val="000000"/>
        </w:rPr>
        <w:t xml:space="preserve"> </w:t>
      </w:r>
      <w:r>
        <w:rPr>
          <w:rFonts w:ascii="Times New Roman;serif" w:hAnsi="Times New Roman;serif"/>
          <w:b w:val="false"/>
          <w:color w:val="000000"/>
          <w:sz w:val="20"/>
        </w:rPr>
        <w:t xml:space="preserve">for additional uses or for some of our potential product candidates in the future.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fast-track designation for some of our potential product candidates. If a therapy is intended for the treatment of a serious or life-threatening condition and the therapy nonclinical or clinical data demonstrates the potential to address unmet medical needs for this condition, the therapy sponsor may apply for fast-track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fast-track designation does not provide assurance of ultimate FDA approval. In addition, the FDA may withdraw fast-track designation if it believes that the designation is no longer supported by data from our clinical development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orphan drug designations for our product candidates, and we may be unable to maintain the benefits associated with orphan drug designation, including the potential for market exclusivity.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some jurisdictions, including the United States and European Union,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We may not be able to obtain orphan drug designation for any indications for our product candidates, and we may not be able to maintain such designations if granted. </w:t>
      </w:r>
    </w:p>
    <w:p>
      <w:pPr>
        <w:pStyle w:val="TextBody"/>
        <w:bidi w:val="0"/>
        <w:spacing w:before="0" w:after="0"/>
        <w:ind w:left="0" w:right="0" w:firstLine="49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approved use or indication within such rare disease or condition for seven years. Even if we are able to obtain orphan drug designation or orphan drug exclusivity, that exclusivity may not effectively protect the product from competition because different drugs can be approved for the same approved use or condition. Even after an orphan drug is approved, the FDA can subsequently approve the same drug for the same approved use or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While we may seek accelerated approval for some of our product candidates, we may not be able to obtain it as the sufficiency of our clinical trial results for accelerated approval are subject to the FDA’s discretion.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seek approval for ficerafusp alfa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IMM, that is reasonably likely to predict an effect on IMM or other clinical benefit. For more information, see the section titled “Business—Government Regulation—Accelerated Approval” in our Annual Report on Form 10-K for the fiscal year ended December 31, 2025, or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Commercialization</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The commercial success of ficerafusp alfa or any future product candidates will depend upon the degree of market acceptance of such product candidates by physicians, patients, healthcare payors and others in the medical community.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Ficerafusp alfa and any future product candidates may not be commercially successful. Even if ficerafusp alfa or any future product candidates receive regulatory approval, they may not gain market acceptance among physicians, patients, healthcare payors, or the medical community. The commercial success of ficerafusp alfa or any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demonstration of clinical efficacy and safety, including as compared to any more established products;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indications for which ficerafusp alfa or any future product candidates are approved, if any;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limitation of our targeted patient population and other limitations or warnings contained in any FDA-approved labeling;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acceptance of a new drug for the relevant indication by healthcare providers and their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pricing and cost-effectiveness of our products, as well as the cost of treatment with our products in relation to alternative treatments and therapies;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obtain and maintain sufficient third-party coverage and adequate reimbursement from government healthcare programs, including Medicare and Medicaid, private health insurers and other third-party payors;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willingness of patients to pay all, or a portion of, out-of-pocket costs associated with our products in the absence of sufficient third-party coverage and adequate reimbursement;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any restrictions on the use of our products, and the prevalence and severity of any adverse effects;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of market introduction of our products as well as availability, safety and efficacy of competitive drugs;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effectiveness of our or any current or future collaborators’ sales and marketing strategies;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unfavorable publicity relating to the product.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ficerafusp alfa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market opportunities for ficerafusp alfa or any future product candidate we develop, if approved, may prove to be smaller than we believe.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revenue we are able to generate in the future from product sales will be dependent, in part, upon the size of the market in the U.S. and any other jurisdiction for which we gain regulatory approval and have commercial rights. If the markets or patient subsets that we are targeting are not as significant as we estimate, we may not generate significant revenues from sales of such products, even if approved.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patients who have the types of cancer we are targeting may turn out to be lower than expected. Additionally, the potentially addressable patient population for ficerafusp alfa or any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patients who receive first-line treatment, and the prognosis of patients who receive second- or third-line treatment is often poorer than that of patients who receive first-line treatment. There is no guarantee that any product candidate we develop, even if approved, would be approved for first-line therapy, and, prior to any such approvals, we may have to conduct additional clinical trials.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If approved, our product candidates that are regulated as biological products, or biologics, may face competition from biosimilars approved through an abbreviated regulatory pathway.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Biologics Price Competition and Innovation Act of 2009, or BPCIA, established an abbreviated pathway for the approval of biosimilar and interchangeable biologics with an FDA-licensed reference biologic product.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and is not submitted as a biosimilar application. Certain changes and supplements to an approved BLA, and subsequent applications filed by the same sponsor, manufacturer, licensor, predecessor in interest, or other related entity do not qualify for the 12-year exclusivity period. The law is complex and any new policies or processes adopted by the FDA could have a material adverse effect on the future commercial prospects for our biological products.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any of the product candidates we develop that is approved in the U.S.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 approval of a biosimilar of our product candidates could have a material adverse impact on our business due to increased competition and pricing pressure. It is also possible that payors will give reimbursement preference to biosimilars over reference biological products, even absent a determination of interchangeability.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do not receive any anticipated periods of regulatory exclusivity for our product candidates it could adversely affect our business, financial condition, results of operations and prospects.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marketing approval of ficerafusp alfa and any future product candidates in one jurisdiction does not mean that we will be successful in obtaining and maintaining marketing approval of ficerafusp alfa and any future product candidates in other jurisdictions.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marketing approval of ficerafusp alfa and any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marketing approvals, our target market will be reduced and our ability to realize the full market potential of our product candidates will be harmed.</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may enter into agreements with third parties to sell, distribute and/or market ficerafusp alfa, or any future product candidates, if we obtain regulatory approval, which may adversely affect our ability to generate revenues.</w:t>
      </w:r>
    </w:p>
    <w:p>
      <w:pPr>
        <w:pStyle w:val="TextBody"/>
        <w:bidi w:val="0"/>
        <w:spacing w:lineRule="auto" w:line="319" w:before="0" w:after="200"/>
        <w:jc w:val="both"/>
        <w:rPr>
          <w:rFonts w:ascii="Times New Roman;serif" w:hAnsi="Times New Roman;serif"/>
          <w:b w:val="false"/>
          <w:color w:val="000000"/>
          <w:sz w:val="20"/>
        </w:rPr>
      </w:pPr>
      <w:r>
        <w:rPr>
          <w:rFonts w:ascii="Times New Roman;serif" w:hAnsi="Times New Roman;serif"/>
          <w:b w:val="false"/>
          <w:color w:val="000000"/>
          <w:sz w:val="20"/>
        </w:rPr>
        <w:t>Given the development stage of ficerafusp alfa, we have no experience in sales, marketing and distribution of biotech products. However, if ficerafusp alfa, or any future product candidates that we may develop, obtains marketing approval, we might intend to develop sales and marketing capacity, either alone or with partners, or rely upon the sales and marketing capabilities of our partners. Outsourcing sales, distribution and marketing may subject us to a variety of risks,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exercise direct control over sales, distribution and marketing activities and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failure or inability of contracted sales personnel to successfully market our products to physicians;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disputes with third parties concerning distribution, sales and marketing expenses, calculation of royalties, and sales and marketing strategies.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partner with a third party that has adequate sales, marketing, and distribution capabilities, we may have difficulty commercializing ficerafusp alfa or any other product candidates which would adversely affect our business, financial condition, and ability to generate product revenues. </w:t>
      </w:r>
    </w:p>
    <w:p>
      <w:pPr>
        <w:pStyle w:val="TextBody"/>
        <w:bidi w:val="0"/>
        <w:spacing w:before="0" w:after="0"/>
        <w:jc w:val="both"/>
        <w:rPr/>
      </w:pPr>
      <w:r>
        <w:rPr/>
      </w:r>
    </w:p>
    <w:p>
      <w:pPr>
        <w:pStyle w:val="TextBody"/>
        <w:bidi w:val="0"/>
        <w:spacing w:lineRule="auto" w:line="319" w:before="0" w:after="200"/>
        <w:jc w:val="both"/>
        <w:rPr>
          <w:rFonts w:ascii="Times New Roman;serif" w:hAnsi="Times New Roman;serif"/>
          <w:b/>
          <w:i/>
          <w:color w:val="000000"/>
          <w:sz w:val="20"/>
        </w:rPr>
      </w:pPr>
      <w:r>
        <w:rPr>
          <w:rFonts w:ascii="Times New Roman;serif" w:hAnsi="Times New Roman;serif"/>
          <w:b/>
          <w:i/>
          <w:color w:val="000000"/>
          <w:sz w:val="20"/>
        </w:rPr>
        <w:t>Off-label use or misuse of ficerafusp alfa may harm our reputation in the marketplace or result in injuries that lead to costly product liability suits.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If ficerafusp alfa is approved by the FDA, we may only promote or market ficerafusp alfa in a manner consistent with its FDA-approved labeling. We will train our marketing and sales force against promoting ficerafusp alfa for uses outside of the approved indications for use, known as “off-label uses.” We cannot, however, prevent a physician from using ficerafusp alfa off-label, when in the physician’s independent professional medical judgment, he or she deems it appropriate. Furthermore, the use of ficerafusp alfa for indications other than those approved by the FDA may not effectively treat such conditions. Any such off-label use of ficerafusp alfa could harm our reputation in the marketplace among physicians and patients. There may also be increased risk of injury to patients if physicians attempt to use ficerafusp alfa for these uses for which they are not approved, which could lead to product liability suits that might require significant financial and management resources and that could harm our reputation.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or FCPA,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68" w:before="200" w:after="200"/>
        <w:jc w:val="both"/>
        <w:rPr>
          <w:rFonts w:ascii="Times New Roman;serif" w:hAnsi="Times New Roman;serif"/>
          <w:b/>
          <w:i/>
          <w:color w:val="000000"/>
          <w:sz w:val="20"/>
        </w:rPr>
      </w:pPr>
      <w:r>
        <w:rPr>
          <w:rFonts w:ascii="Times New Roman;serif" w:hAnsi="Times New Roman;serif"/>
          <w:b/>
          <w:i/>
          <w:color w:val="000000"/>
          <w:sz w:val="20"/>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ficerafusp alfa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compete may decline if we do not adequately protect our proprietary rights.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obtaining and maintaining patents and other forms of intellectual property rights for ficerafusp alfa, including ficerafusp alfa and any future product candidates, methods used to produce, purify, and manufacture those product candidates, and methods of utilizing the product candidates, including methods for treating patients, among other aspects of ficerafusp alfa or on licensing-in such rights. Failure to protect or to obtain, maintain, or extend adequate patent and other intellectual property rights could materially adversely affect our ability to develop and market ficerafusp alfa.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depends in part on our ability to identify and seek patent protection for our discoveries. The patent prosecution process is time-consuming and expensive, and we and our current or future licensors, licensees or collaborators may not be able to prepare, file and prosecute all necessary or desirable patent applications at a reasonable cost or in a timely manner in all jurisdictions where protection may be commercially advantageous. It is also possible that we or our current or future licensors, licensees, or collaborators will fail to identify patentable aspects of inventions made in the course of development and commercialization activities before it is too late to obtain patent protection on them.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standards which the United States Patent and Trademark Office, or USPTO, and its foreign counterparts use to grant patents are not always applied predictably or uniformly and can change in the future. There is also no uniform, worldwide policy regarding the subject matter and scope of claims granted or allowable. The laws of some foreign countries do not protect proprietary information to the same extent as the laws of the United States. Outside the United States, patent protection must be sought in individual jurisdictions, further adding to the cost and uncertainty of obtaining adequate patent protection outside of the United States. Accordingly, the issuance, scope, validity, enforceability, and commercial value of our and our current or future licensors’, licensees’ or collaborators’ current and future patent rights are highly uncertain. We cannot predict whether additional patents protecting ficerafusp alfa will issue in the U.S. or in foreign jurisdictions, or whether any patents that do issue will have claims of adequate scope to provide competitive advantage. Our and our current or future licensors’, licensees’ or collaborators’ pending and future patent applications may not result in patents being issued which protect ficerafusp alfa or other technology, in whole or in part, or which effectively prevent others from commercializing competitive products and technology. The patent examination process may require us or our current or future licensors, licensees or collaborators to narrow the scope of the claims of our or our current or future licensors’, licensees’ or collaborators’ pending and future patent applications, which may limit the scope of patent protection that may be obtained.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or have issued and even if such patents cover a product candidate, and/or other technologies, third parties may initiate opposition, interference, re-examination, post-grant review, inter partes review, litigation, nullification or derivation action in court or before patent offices, or similar proceedings challenging the validity, enforceability, scope, inventorship, or ownership of such patents, which may result in the patent claims being narrowed,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invalidated, held unenforceable, or unavailable to us. Our and our current and future licensors’, licensees’ or collaborators’ patent applications cannot be enforced against third parties practicing the technology claimed in such applications unless and until a patent issue from such application(s), and then only to the extent the issued claims cover the technology in the relevant jurisdiction.</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Patent applications in the U.S. and many foreign jurisdictions are typically not published until 18 months after filing, or in some cases not at all, and because publications of discoveries in scientific literature lag behind actual discoveries. As such, we cannot be certain that we or our licensors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changes in, or different interpretations of, patent laws in the U.S. and other countries may permit others to use our discoveries or to develop and commercialize ficerafusp alfa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ficerafusp alfa in all countries and jurisdictions throughout the world would be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As such, we will not file for patent protection in all national and regional jurisdictions in the world where such protection may be available.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competitors may use our and our existing or future licensors’, licensees’ or collaborators’ technologies in jurisdictions where we have not obtained patent protection to develop their own products and, further, may export otherwise infringing products to territories where we and our existing or future licensors, licensees or collaborators have patent protection, but enforcement is not as strong as that in the U.S. These products may compete with ficerafusp alfa or other technologies, and our and our existing or future licensors’, licensees’ or collaborators’ patents or other intellectual property rights may not be effective or sufficient to prevent them from competing.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United States. Patent protection must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proceedings to enforce our patent rights and other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Issued patents covering ficerafusp alfa and related technology could be found invalid or unenforceable if challenged in court or before a patent office. We are currently, and may in the future become, involved in lawsuits involving our intellectual property, including patents, to protect or enforce our patents, which could be expensive, time consuming and unsuccessful.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Issued patents may be challenged, narrowed, invalidated, circumvented, or otherwise encumbered by a third party. We may from time to time need to resort or become a party to litigation (or other adversarial proceeding) to enforce or defend any patents or other intellectual property rights owned by or licensed to us, or to determine or challenge the scope or validity of patents or other intellectual property rights of third parties in the U.S. and in other jurisdictions. For example, in October 2024, a complaint was filed in federal court, which among other things, alleges a claim for correction of inventorship of a number of patents, including patents alleged to be licensed to us relating to ficerafusp alfa. For more information on this pending litigation, see the section titled “Legal Proceedings.” As enforcement of intellectual property rights is difficult, unpredictable and expensive, we may fail in enforcing our rights—in which case our competitors may be permitted to use our product without being enjoined, required to pay us any license fees, or compensate us for lost profits or reasonable royalty. In addition, litigation involving our patents carries the risk that one or more of our patents will be held invalid (in whole or in part, on a claim-by-claim basis) or held unenforceable. Such an adverse court ruling could allow third parties to commercialize technology covered by our patents we seek to enforce, such as those covering ficerafusp alfa and related methods, among other technologies, and then compete directly with us, without payment to us.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to initiate legal proceedings against a third party to enforce a patent covering ficerafusp alfa or other technology, the defendant could counterclaim that our patent is invalid and/or unenforceable, which is commonplace in patent litigation in the U.S. and other foreign jurisdictions. Grounds for a validity challenge could be an alleged failure to meet any of several statutory requirements for patentability, for example, lack of utility, novelty, obviousness, non-enablement or lack of written description or as constituting unpatentable subject matter. Grounds for an unenforceability assertion could be an allegation that someone substantively involved in prosecution of the patent withheld but-for material information from the USPTO or engaged in affirmatively egregious misconduct, during prosecution, with a specific intent to deceive the USPTO.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could lose at least part, and perhaps all, of the patent protection on ficerafusp alfa or other technology. Such a loss of patent protection could have a material adverse impact on our business. Even if we have valid and enforceable patents, these patents still may not provide protection against competing products or processes sufficient to achieve our business objectives. Patents and other intellectual property rights also will not protect ficerafusp alfa if competitors design around our protected technology without infringing our patents or other intellectual property rights.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if such litigation (or other adversarial proceedings or disputes)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this could have a substantial adverse effect on the price of our common stock. Such litigation or proceedings and the legal costs associated with them,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If we are unsuccessful in defending against any claims by competitors or others that we are infringing upon their intellectual property rights, our business could be materially harmed.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will depend, in part, on our ability to operate without infringing the proprietary rights of third parties. Other entities may have or obtain patents or other proprietary rights that could limit our ability to make, use, sell, offer for sale or import a product candidate, a future approved product, or impair our competitive position. We are aware of third party issued patents and/or pending patent applications, including in the U.S., that could be alleged as covering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ficerafusp alfa, irrespective of the merits of any such allegation. For example, in August 2024, we received a letter alleging ficerafusp alfa infringes certain third party patents, and in July 2026, the Patent Trial and Appeal Board of the United Stated Patent and Trademark Office instituted a post-grant review petition brought by us. Additionally, in October 2024, a complaint was filed in federal court, which among other things, alleges a claim for correction of inventorship of a number of patents, including patents alleged to be licensed to us relating to ficerafusp alfa. For more information on pending litigation, see the section titled “Legal Proceedings.” Although we believe that these patents are not infringed, and/or are invalid and/or unenforceable and/or are licensed to us, if a court should find that they cover a product candidate and we are unable to invalidate such patents, or if licenses for them are not available on commercially reasonable terms, our business could be harmed, perhaps materially.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if such patents or patent applications were asserted against us, we would have counterclaims and defenses against such claims, including non-infringement, the affirmative defense of safe harbor designed to protect activity undertaken to obtain federal regulatory approval of a drug, including under 35 U.S.C. § 271(e) and similar foreign exceptions to infringement, and defenses concerning patent invalidity and/or unenforceability. However, if such counterclaims and defenses were not successful and such patents were successfully asserted against us such that they are found to be valid and enforceable, and infringed, unless we obtain a license to such patents, which may not be available on commercially reasonable terms or at all, we could be prevented from continuing to develop or commercialize ficerafusp alfa. We could also be required to pay substantial damages. We cannot assure you that we will ultimately prevail if any of this third-party intellectual property is asserted against us.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 the biotechnology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or our collaborators may initiate litigation or other proceedings against third parties seeking to invalidate the patents held by those third parties or to obtain a judgment that our products or processes do not infringe those third parties’ patents;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third parties initiate litigation claiming that our processes or products infringe their patent or other intellectual property rights, we and our collaborators will need to defend against such proceedings;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lawsuits (or other proceedings) would be costly and could affect our results of operations and divert the attention of our management and scientific personnel. 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the breadth or strength of protection provided by our or our present or future licensors’, collaborators’ or partners’ patents and patent applications is threatened, it could dissuade companies from collaborating with us to license, develop or commercialize ficerafusp alfa or any future product candidates.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Third party intellectual property right holders, including our competitors, may actively bring infringement claims against us. We may not be able to successfully settle, license on commercially acceptable terms or otherwise resolve such potential infringement claims. If we are unable to successfully settle future claims on terms acceptable to us, we may be required to engage or continue costly, unpredictable and time-consuming litigation and may be prevented from or experience substantial delays in marketing any approved products. If we fail in any such dispute, in addition to being forced to potentially pay damages, we or our licensees may be temporarily or permanently prohibited from commercializing our product candidates that are held to be infringing or be forced to redesign our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biotechnology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ficerafusp alfa to market and be precluded from manufacturing or selling ficerafusp alfa.</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is also possible that in our evaluation of third-party intellectual property, we failed to identify relevant patents or applications.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ficerafusp alfa in any jurisdiction.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ficerafusp alfa. Our failure to identify and correctly interpret relevant patents may negatively impact our ability to develop and market our products.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U.S. applications filed before November 29, 2000 and certain U.S. applications filed after that date that will not be filed outside the United States remain confidential until patents issue. Patent applications in the U.S. and elsewhere are published approximately 18 months after the earliest filing for which priority is claimed, with such earliest filing date being commonly referred to as the priority date. Furthermore, we operate in a highly competitive field, and given our limited resources, it is unreasonable to monitor all patent applications purporting to claim broad coverage in the areas in which we are active. Additionally, pending patent applications which have been published can, subject to certain limitations, be later amended in a manner that could cover ficerafusp alfa or related technology. We cannot predict whether third parties will be able to successfully obtain claims or the breadth of such claims. </w:t>
      </w:r>
    </w:p>
    <w:p>
      <w:pPr>
        <w:pStyle w:val="TextBody"/>
        <w:bidi w:val="0"/>
        <w:spacing w:lineRule="auto" w:line="268" w:before="200" w:after="200"/>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our intellectual property licenses with third parties, we could lose license rights that are important to our business.</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party to intellectual property license agreements. These license agreements impose, and we expect that future license agreements may impose, various obligations on us. For example, we have entered into patent and know-how license agreements that grant us the right to use certain technologies related to our clinical product candidate and related methods.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be unsuccessful in licensing or acquiring third-party intellectual property that may be required to develop and commercialize ficerafusp alfa.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rights, through patents that we have in-licensed or own, to the intellectual property to develop ficerafusp alfa. Because our programs may involve additional product candidates, that may require the use of intellectual property or proprietary rights held by third parties, the growth of our business may depend in part on our ability to acquire, in-license or use such intellectual property and proprietary rights. We may be unable to acquire or in-license any third-party intellectual property or proprietary rights or to do so on commercially reasonable terms. For example, we sometimes collaborate with public or private academic institutions to accelerate our research or development under written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these institutions. Typically, these institutions provide us with an option to negotiate a license to any of the institution’s rights in technology resulting from the strategic collaboration. Regardless of such option,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 The same situation may occur with a present or future development partner.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and proprietary rights is a competitive area, and a number of more established companies are also pursuing strategies to license or acquire third-party intellectual property and proprietary rights that we may consider attractive or necessary. These established companies may have a competitive advantage over us due to their size and greater capital resources and development and commercialization capabilities. In addition, companies that perceive us to be a competitor may be unwilling to assign or license intellectual property and proprietary rights to us.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successfully acquire or in-license rights to required third-party intellectual property and proprietary rights or maintain our intellectual property and proprietary rights, we may have to cease development of the relevant the relevant program, product or product candidate, which could have a material adverse effect on our business.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USPTO and various foreign patent offices require compliance with a number of procedural, documentary, fee payment and other similar provisions during the patent prosecution and post grant or issuance. We employ reputable law firms and other professionals to help us comply. Additionally, periodic maintenance fees, renewal fees, annuity fees and various other governmental fees on patents and/or patent applications will be due to the USPTO and various foreign patent offices at various points over the lifetime of our patents and/or patent applications. We rely on our outside counsel or our agents to pay these fees when due.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such an event were to occur, it could have a material adverse effect on our business. In addition, we may be responsible for the payment of patent fees for patent rights that we license from third parties. If any licensor of these patents does not itself elect to make these payments, and we fail to do so, we may be liable to the licensor for any costs and consequences of any resulting loss of patent rights. If we or our existing or future licensors fail to maintain the patents and patent applications covering ficerafusp alfa, our competitors might be able to enter the market, which would have an adverse effect on our business. </w:t>
      </w:r>
    </w:p>
    <w:p>
      <w:pPr>
        <w:pStyle w:val="TextBody"/>
        <w:bidi w:val="0"/>
        <w:spacing w:before="0" w:after="0"/>
        <w:jc w:val="both"/>
        <w:rPr/>
      </w:pPr>
      <w:r>
        <w:rPr/>
      </w:r>
    </w:p>
    <w:p>
      <w:pPr>
        <w:pStyle w:val="TextBody"/>
        <w:bidi w:val="0"/>
        <w:spacing w:lineRule="auto" w:line="319" w:before="0" w:after="200"/>
        <w:jc w:val="both"/>
        <w:rPr>
          <w:rFonts w:ascii="Times New Roman;serif" w:hAnsi="Times New Roman;serif"/>
          <w:b/>
          <w:i/>
          <w:color w:val="000000"/>
          <w:sz w:val="20"/>
        </w:rPr>
      </w:pPr>
      <w:r>
        <w:rPr>
          <w:rFonts w:ascii="Times New Roman;serif" w:hAnsi="Times New Roman;serif"/>
          <w:b/>
          <w:i/>
          <w:color w:val="000000"/>
          <w:sz w:val="20"/>
        </w:rPr>
        <w:t>If we do not obtain protection under the Hatch-Waxman Amendments and similar foreign legislation for extending the term of patents covering ficerafusp alfa, our business may be materially harmed.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Patents typically have a limited lifespan. In the U.S., if all maintenance fees are timely paid, the natural expiration of a patent is generally 20 years from its earliest U.S. non-provisional filing date, not including potential patent term extensions or adjustments that may be available in the U.S., and under comparable laws applicable outside the U.S., where certain conditions are met. Various extensions may be available, but the life of a patent, and the protection it affords, is limited. Even if patents covering ficerafusp alfa are obtained, once the patent life has expired for a product candidate, we may be open to competition from competitive medications, including biosimilar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causing our revenue from applicable products to be reduced, possibly materially, and potentially harming our ability to recover our investment in such product or obtain a reasonable return on that investment.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conditions of FDA marketing approval of ficerafusp alfa,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patent rights for that product will be shortened and our competitors may obtain approval to market competing products sooner. As a result, our revenue from applicable products could be reduced, possibly materially.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is common in the biotechnology and pharmaceutical industries, we employ individuals who were previously or concurrently employed at other biotechnology or pharmaceutical companies, universities, and/or research institutions and the like,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ficerafusp alfa, are rightfully owned by their former or concurrent employer.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to defend against these claims. Even if we are successful in defending against these claims, litigation could result in substantial costs and be a distraction to management. 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ficerafusp alfa. Such a license may not be available on commercially reasonable terms or at all.</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of our patents and other intellectual property.</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0" w:after="200"/>
        <w:jc w:val="both"/>
        <w:rPr/>
      </w:pPr>
      <w:r>
        <w:rPr/>
      </w:r>
    </w:p>
    <w:p>
      <w:pPr>
        <w:pStyle w:val="TextBody"/>
        <w:bidi w:val="0"/>
        <w:spacing w:lineRule="auto" w:line="268" w:before="0" w:after="200"/>
        <w:jc w:val="both"/>
        <w:rPr>
          <w:rFonts w:ascii="Times New Roman;serif" w:hAnsi="Times New Roman;serif"/>
          <w:b/>
          <w:color w:val="000000"/>
          <w:sz w:val="20"/>
        </w:rPr>
      </w:pPr>
      <w:r>
        <w:rPr>
          <w:rFonts w:ascii="Times New Roman;serif" w:hAnsi="Times New Roman;serif"/>
          <w:b/>
          <w:color w:val="000000"/>
          <w:sz w:val="20"/>
        </w:rPr>
        <w:t>Risks Related to Healthcare, Insurance and Legal Matters</w:t>
      </w:r>
    </w:p>
    <w:p>
      <w:pPr>
        <w:pStyle w:val="TextBody"/>
        <w:bidi w:val="0"/>
        <w:spacing w:lineRule="auto" w:line="268" w:before="200" w:after="200"/>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ficerafusp alfa.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ficerafusp alfa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decreased demand for any product candidate we may develop;</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withdrawal of trial participants;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significant time and costs to defend the related litigation;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substantial monetary awards to trial subjects or patients;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diversion of management and scientific resources from our business operations;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inability to commercialize any product candidates that we may develop.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ficerafusp alfa,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The successful commercialization of ficerafusp alfa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availability of coverage and the adequacy of reimbursement by governmental healthcare programs including but not limited to Medicare and Medicaid, private health insurers and other third-party payors are essential for most patients to be able to afford prescription medications such as ficerafusp alfa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more information, see the section titled “Business—Government Regulation—Pharmaceutical Coverage, Pricing and Reimbursement” in our Annual Report.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significant uncertainty related to third-party payor coverage and reimbursement of newly approved products. In the U.S.,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ficerafusp alfa or any future product candidates.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(including products administered in the clinical setting), obtaining coverage and adequate reimbursement may be particularly difficult because of the higher prices often associated with such drugs. Additionally, separate reimbursement for the product itself or the administration of the product, or the treatment or procedure in which the product is used, may not be available, which may impact physician utilization.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ficerafusp alfa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and Medicaid beneficiaries,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U.S. or abroad.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our product candidate may lose any marketing approval that may have been obtained and we may not achieve or sustain profitability, which would adversely affect our business.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investigators, healthcare professionals, consultants, third-party payors, patient organizations and customers may expose us to broadly applicable foreign, federal and state fraud and abuse and other healthcare laws and regulations. These laws may constrain the business or financial arrangements and relationships through which we conduct our operations, including how we research, and plan to market, sell and distribute any products for which we obtain regulatory approval. For more information, see the section titled “Business—Government Regulation—Other U.S. Healthcare Laws” in our Annual Report.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to be noncompliant with applicable laws or regulations, they may be subject to significant criminal, civil or administrative sanctions, including exclusions from government-funded healthcare programs. We plan to implement a corporate compliance program designed to identify, prevent and mitigate risk through the implementation of policies and procedures, training, and auditing and monitoring. We expect to devote resources to implement, maintain, administer and expand the compliance program as necessary. We cannot be certain, however, that our compliance program will ensure compliance with the various complex laws and regulations to which we are subject now or in the future.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Current and future healthcare reform legislation or regulation may increase the difficulty and cost for us to obtain coverage for and commercialize ficerafusp alfa, if approved, or any future product candidates and may adversely affect the prices we may set.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and some foreign jurisdictions, there have been, and we expect there will continue to be, a number of legislative and regulatory changes to the healthcare system, including cost-containment measures that may reduce or limit coverage and reimbursement for newly approved drugs and biologics and affect our ability to profitably sell ficerafusp alfa or any future product candidates for which we obtain regulatory approval. In particular, there have been and continue to be a number of initiatives at the U.S. federal and state levels that seek to reduce healthcare costs and improve the quality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healthcare. For example, the Inflation Reduction Act of 2022, or the IRA, includes several provisions that will impact our business to varying degrees, including provisions that allow the U.S. government to negotiate Medicare Part B and Part D pricing for certain high-cost drugs and biologics without generic or biosimilar competition, among others. Negotiated maximum fair prices for the first ten Medicare Part D drugs took effect January 1, 2026, and Medicare Part B drugs become subject to negotiated prices beginning January 1, 2028. Our lead candidate ficerafusp alfa is being developed in indications that may rely heavily on Medicare reimbursement. Accordingly, these price-negotiation provisions may have a negative impact on our future revenue and profits. The IRA exempts orphan drugs from price negotiation if they have received only one orphan designation and are approved solely for that rare disease. However, the One Big Beautiful Bill Act of 2025, or the OBBBA, revised this exemption, effective for the initial price applicability year 2028 and subsequent years, in two ways: first, all orphan drugs designated for one or more rare diseases or conditions and approved only for such designated indications are exempt from the negotiation program (expanding the prior single-orphan-indication exclusion); and second, for orphan-designated products that later lose exclusion status upon approval of a non-orphan indication, the negotiation eligibility period begins on the date of such first non-orphan indication, the negotiation eligibility period begins on the date of such first non-orphan approval rather than on the products’ original approval date. While the OBBBA amendments may broaden the exemption for certain products, its effect on our future pipeline remains uncertain. Further, the IRA also imposed rebates with respect to certain drugs and biologics covered under Medicare Part B or Medicare Part D to penalize price increases that outpace inflation. For more information, see the section titled “Business—Government Regulation—Current and Future U.S. Healthcare Reform Legislation” in our Annual Report.</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In 2025, the Trump Administration issued executive actions and supported regulatory initiatives focused on implementing most-favored-nation, or MFN, pricing concepts, expanding direct-to-consumer sales models, and directing CMS to propose reimbursement models that would incorporate international reference pricing benchmarks into Medicare and Medicaid payment structures. These initiatives, if implemented, could adversely affect the prices we could obtain for ficerafusp alfa, if approved, and for any future product candidates, and could increase our compliance costs and commercial complexity.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ficerafusp alfa and any future product candidates, if approved, or put pressure on our product pricing, which could negatively affect our business, financial condition, results of operations and prospects.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these existing laws and other federal and state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ficerafusp alfa or any future product candidates, if approved.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Failure to comply with laws and regulations related to the protection of research subjects could result in fines, penalties, and litigation, and have a material adverse effect upon our business.</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regulation under international, federal, state, and local laws and regulations relating to the protection of research subjects. Federally funded human-subject research in the U.S., including the collection of identifiable human biospecimens, is governed by 45 CFR Part 46, also known as the Health and Human Services Policy for Protection of Human Research Subjects or the “Common Rule.” Use of biospecimens in certain other research is subject to FDA regulations for the Protection of Human Subjects and Institutional Review Boards at 21 CFR Parts 50 and 56. Research funded by the NIH, may be subject to grant or contract requirements, as well as NIH Certificates of Confidentiality. When collecting specimens for research in the U.S., our company and its collection sites are responsible for ensuring that specimens are collected in accordance with these regulations. In addition, other countries have their own regulations around the ethical collection of human specimens for research. While we believe that we are in compliance with these laws, we may not be aware of all such laws or may fail to properly audit and identify gaps in compliance. Similarly, we may find errors in our product candidates and processes and may fail to properly match the compliance requirements of our researchers to the compliance requirements of our suppliers. Failure of our company or our suppliers to comply with international, federal, state, and local laws and regulations could subject us to denial of the right to conduct business, fines, criminal penalties, and/or other enforcement actions which could have a material adverse effect on our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Manufacturing of Our Product Candidates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in methods of product candidate manufacturing may result in additional costs or delay.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product candidates proceed through preclinical studies to late-stage clinical trials towards potential approval and commercialization, it is common that various aspects of the development program, such as manufacturing methods, are altered along the way in an effort to optimize processes. In addition, we may need a different CMO for manufacturing ficerafusp alfa or any future product candidates for commercial supply needs. Such changes carry the risk that they will not achieve these intended objectives. Any of these changes could cause ficerafusp alfa or any future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increase clinical trial costs, delay approval of ficerafusp alfa and jeopardize our ability to commence sales and generate revenue.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subject to various manufacturing risks, any of which could substantially increase our costs and limit supply of ficerafusp alfa.</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of manufacturing product therapeutics and bispecifics, including ficerafusp alfa, is complex, time-consuming, highly regulated and subject to several risks, including: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 the manufacturing facilities in which our products are made could be adversely affected by equipment failures, labor and raw material shortages, natural disasters, power failures and numerous other factors;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ficerafusp alfa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Employee Matters and Managing Growth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develop product candidates, leverage our potential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members of our executive team. The loss of the services of any of them may adversely impact the achievement of our objectives. The loss of services of any of these individuals could delay or prevent the successful development of ficerafusp alfa, completion of our planned clinical trials or the commercialization of ficerafusp alfa.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also depends upon the continued contributions of our key management and scientific personnel, many of whom have been instrumental for us and have substantial experience with developing therapies, identifying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product candidates and building the technologies related to the clinical development of our product candidates. Given the specialized nature of dual-action biologics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our recruitment and retention efforts are unsuccessful in the future, it may be difficult for us to implement our business strategy, which would have a material adverse effect on our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managing our internal development efforts effectively, including the clinical and FDA review process for ficerafusp alfa and any other future product candidates we develop, while complying with our contractual obligations to contractors and other third parties;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advance development of and, if approved, commercialize ficerafusp alfa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 </w:t>
      </w:r>
    </w:p>
    <w:p>
      <w:pPr>
        <w:pStyle w:val="TextBody"/>
        <w:bidi w:val="0"/>
        <w:spacing w:before="0" w:after="0"/>
        <w:ind w:left="0" w:right="0" w:firstLine="49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ficerafusp alfa or any future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ficerafusp alfa or any future product candidates we develop and, accordingly, may not achieve our research, development and commercialization goals. </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The price of our stock may be volatile, and you could lose all or part of your investment. </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section and elsewhere in this Quarterly Report on Form 10-Q, these factors include: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commencement, enrollment, completion or results of our current or future preclinical and clinical trials for ficerafusp alfa;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any delay in identifying and advancing a clinical candidate for our other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any delay in our regulatory filings for ficerafusp alfa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results or delays, suspensions or terminations in future preclinical studies or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regulatory decisions, including failure to receive regulatory approval or potential accelerated approval of ficerafusp alfa or the failure of a regulatory authority to accept data from preclinical studies or clinical trials conducted in other countries;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laws or regulations applicable to ficerafusp alfa, including but not limited to clinical trial requirements for approvals;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developments concerning our manufacturers;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failure to commercialize ficerafusp alfa, if approved;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unanticipated serious safety concerns related to ficerafusp alfa or any future product candidates;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actual or anticipated variations in operating results;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cash position;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publication of research reports about us or our industry, or ficerafusp alfa in particular, or positive or negative recommendations or withdrawal of research coverage by securities analysts;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structure of the healthcare payment systems;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sales of our common stock by us or our stockholders in the future;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accounting practices;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ineffectiveness of our internal controls;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general geopolitical and economic conditions;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operating results may fluctuate significantly, which makes our future operating results difficult to predict and could cause our operating results to fall below expectations.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due to a variety of factors, many of which are outside of our control and may be difficult to predict,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and cost of, and level of investment in, research, development and, if approved, commercialization activities relating to ficerafusp alfa or any future product candidates, which may change from time to time;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and status of enrollment for clinical trials;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 of manufacturing ficerafusp alfa, as well as building out our supply chain, which may vary depending on the quantity of production and the terms of our agreements with manufacturers;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expenditures that we may incur to acquire, develop or commercialize additional product candidates and technologies;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timing and amount of any milestone, royalty or other payments due under any collaboration or license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and success or failure of preclinical studies and clinical trials for ficerafusp alfa or competing product candidates, or any other change in the competitive landscape of our industry, including consolidation among our competitors or partners;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and success or failure of preclinical studies and clinical trials for ficerafusp alfa or competing product candidates, or any other change in the competitive landscape of our industry, including consolidation among our competitors 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of receipt of approvals for ficerafusp alfa from regulatory authorities in the U.S. and internationally;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exchange rate fluctuations;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coverage and reimbursement policies with respect to ficerafusp alfa, if approved, and potential future drugs that compete with our products;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level of demand for ficerafusp alfa, if approved, may vary significantly over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inaccurate or unfavorable research about our business, our stock price and trading volume could decline.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executive officers, directors, principal stockholders and their respective affiliates own a significant percentage of our common stock and will be able to exert significant control over matters subject to stockholder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beneficial ownership of our common stock as of June 30, 2026, our executive officers, directors, holders of 5% or more of our capital stock and their respective affiliates beneficially own a significant percentage of our common stock.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Biocon, RA Capital and TPG LSA, are affiliated with members of our board of directors.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Future sales or issuances of our common stock in the public market could cause our common stock price to fall.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For example, in February 2026, we completed our February 2026 Offering of 8,581,250 shares of our common stock and pre-funded warrants to purchase 2,200,000 shares of our common stock.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issuance of additional capital stock in connection with financings, acquisitions, investments, our stock incentive plans or otherwise will dilute all other stockholders.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issue additional capital stock in the future, including potentially through our ATM Program, that will result in dilution to all other stockholders. We expect to grant equity awards to employees, directors and consultants under our stock incentive plans. We may also raise capital through equity financings in the future. In addition, as of the date of this Quarterly Report on Form 10-Q, we had outstanding pre-funded warrants to purchase 2,200,000 shares of our common stock with an exercise price of $0.0001 per share. The pre-funded warrants may be exercised at any time after the date of issuance solely by cashless exercise, at the holder’s election, until all of the pre-funded warrants are exercised 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a formula set forth in the pre-funded warrants. Accordingly, we will not receive additional proceeds from the exercise of the pre-funded warrants and issuance of the underlying shares. If some or all of these pre-funded warrants are exercised, our stockholders could experience substantial dilution and such exercise may cause the market price of our stock to decline. </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do not currently intend to pay dividends on our common stock and, consequently, our stockholders’ ability to achieve a return on their investment will depend on appreciation of the value of our common stock.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fifth amended and restated certificate of incorporation, or our certificate of incorporation, and third amended and restated bylaws, or our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establish a classified board of directors such that only one of three classes of directors is elected each year;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allow the authorized number of our directors to be changed only by resolution of our board of directors;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limit the manner in which stockholders can remove directors from our board of directors;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establish advance notice requirements for stockholder proposals that can be acted on at stockholder meetings and nominations to our board of directors;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require that stockholder actions must be effected at a duly called stockholder meeting and prohibit actions by our stockholders by written consent;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limit who may call stockholder meetings;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require the approval of not less than two-thirds of the votes that all our stockholders would be entitled to cast to amend or repeal specified provisions of our certificate of incorporation or bylaws.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 (iv) any action asserting a claim that is governed by the internal affairs doctrine, in each case subject to the Court of Chancery having personal jurisdiction over the indispensable parties named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defendants therein, or the Delaware Forum Provision. The Delaware Forum Provision will not apply to any causes of action arising under the Securities Act of 1933, or the Securities Act, Securities Exchange Act of 1934, as amended,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further provide that, unless we consent in writing to the selection of an alternative forum, the federal district courts of the U.S. shall be the sole and exclusive forum for resolving any complaint asserting a cause or causes of action arising under the Securities Act, or the Federal Forum Provision. In addition, our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in our bylaws may impose additional litigation costs on stockholders in pursuing any such claims.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not be able to satisfy listing requirements of Nasdaq or maintain a listing of our common stock on Nasdaq.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must meet certain financial and liquidity criteria to maintain the listing of our common stock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Other General Risks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Unfavorable global economic and geopolitical conditions could adversely affect our business, financial condition, stock price and results of operations. </w:t>
      </w:r>
    </w:p>
    <w:p>
      <w:pPr>
        <w:pStyle w:val="TextBody"/>
        <w:bidi w:val="0"/>
        <w:spacing w:before="0" w:after="0"/>
        <w:ind w:left="0" w:right="0" w:firstLine="49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current administration or any new administration have impacted and may in the future impact, among other things, the U.S. and global economy, international trade relations, unemployment, immigration, healthcare, taxation, the U.S. regulatory environment, inflation and other areas. In early 2025, the United States imposed tariffs on imports on its trading partners, including Canada, Mexico, the EU and China.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in September 2025, the current administration also announced a 100% tariff on brand-name or patented drugs unless pharmaceutical companies expand their manufacturing operations in the U.S. Although the pharmaceutical tariff is currently on hold, this could have a material adverse effect on our supply chain and business prospects as well as the larger biopharmaceutical industry. On February 20, 2026, the United States Supreme Court invalidated the reciprocal tariffs; however, President Trump has stated that he intends to use other authorities to maintain historically elevated tariffs. Historically, increased tariffs have led to more trade and political tensions and the status of these agreements between the United States and the various countries, in light of the U.S. Supreme Court’s February 20, 2026 decision, is not yet clear. Any changes in political, trade, regulatory, and economic conditions, including U.S. trade policies, could have a material adverse effect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credit and financial markets have also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military conflict, including the ongoing conflict between Russia and Ukraine, the conflicts in the Middle East, or other geopolitical events.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or the third parties upon whom we depend, may be adversely affected by natural disasters, public health crises or other business interruptions and our business continuity and disaster recovery plans may not adequately protect us from a serious disaster.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ficerafusp alfa, it may be difficult or, in certain cases, impossible for us to continue our business for a substantial period of time.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used by our CROs or other contractors or consultants, may fail or suffer cybersecurity incidents or breaches, which could adversely affect our business.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information technology systems and data and those of our current or future CROs or other contractors and consultants are vulnerable to compromise or damage from computer hacking, computer viruses, social engineering (e.g., phishing attacks) and malware (e.g., ransomware malicious software), fraudulent activity, employee and vendor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constantly increasing in frequency and sophistication and are made by groups and individuals with a wide range of motives (including industrial espionage) and expertise, including by organized criminal groups, “hacktivists,” nation states, and others.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Attempts to disrupt or gain unauthorized access to our and our third-party vendors’ information systems from malicious third parties or insider threats may incorporate widely varying and frequently changing tactics, which may be enhanced or facilitated by evolving technologies, including artificial intelligence.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cybersecurity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there can be no assurance that our efforts will prevent service interruptions or cybersecurity incidents or breaches.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Like other companies in our industry, we and our service providers have experienced threats and cybersecurity incidents relating to our information technology systems and infrastructure. Any significant cybersecurity incident could adversely affect our business, by leading to, for example, the loss of trade secrets or other intellectual property, demands for ransom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or other forms of blackmail, or the unauthorized disclosure of personal or other sensitive information of our employees, clinical trial patients, customers, and others. If we were to experience a significant cybersecurity incident, it could seriously harm our development programs and our business operations. We could be subject to cybersecurity incident or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require attention from management. Further, a significant cybersecurity incident or breach may disrupt our business or damage our reputation, which could have a material adverse effect on our business, prospects, operating results, share price and shareholder value, and financial condition. We could also incur substantial remediation costs, including the costs of investigating the incident, repairing or replacing damaged systems, restoring normal business operations, implementing increased cybersecurity protections, and paying increased insurance premiums.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the loss of clinical trial data from completed, ongoing or future clinical trials could result in delays in our regulatory approval efforts and significantly increase our costs to recover or reproduce the data. If a cybersecurity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ficerafusp alfa and other third parties for the manufacture of ficerafusp alfa and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that any disruption or significant cybersecurity incident or breach were to result in a loss of, or damage to, our data or systems, or inappropriate disclosure of confidential or proprietary or personal information, we could incur liability, our competitive position could be harmed, and the further development and commercialization of ficerafusp alfa could be delayed, result in substantial costs and require attention from management.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significant cybersecurity incident or breach.</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We are eligible to be treated as an “emerging growth company” and a “smaller reporting company” and our election of reduced reporting requirements applicable to emerging growth companies and smaller reporting companies may make our common stock less attractive to investors.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this Quarterly Report on Form 10-Q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until the earliest to occur of: (i) the last day of the fiscal year in which we have more than $1.235 billion in total annual gross revenue. (ii) the date we qualify as a “large accelerated filer,” which occurs when the market value of our common stock that is held by non-affiliates exceeds $700 million of equity securities held by non-affiliates; (iii) the date on which we have issued more than $1.0 billion in non-convertible debt during the prior three-year period; and (iv) the last day of the fiscal year ending after the fifth anniversary of our IPO.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not being required to comply with the auditor attestation requirements of Section 404;</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providing only two years of audited financial statements in addition to any required unaudited interim financial statements and a correspondingly reduced “Management’s Discussion and Analysis of Financial Condition and Results of Operations” disclosure in this Quarterly Report on Form 10-Q;</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reduced disclosure obligations regarding executive compensation;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this Quarterly Report on Form 10-Q and our periodic reports and proxy statements, we have not included and do not expect to include all of the executive compensation-related information that would be required if we were not an emerging growth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this Quarterly Report on Form 10-Q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continue to incur increased costs as a result of operating as a public company, and our management needs to devote substantial time to related compliance initiatives and corporate governance practices.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continue to require that we incur substantial legal and financial compliance costs and to make some activities more time-consuming and costly, which will increase our operating expenses.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implemented the process of documenting, reviewing and improving our internal controls and procedures for compliance with Section 404 of the Sarbanes-Oxley Act, which requires annual management assessment of the effectiveness of our internal control over financial reporting beginning with this Quarterly Report on Form 10-Q.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our IPO. An independent assessment of the effectiveness of our internal controls over financial reporting could detect problems that our management’s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might not. Undetected material weaknesses in our internal controls over financial reporting could lead to restatements of our financial statements and require us to incur the expense of remediation. </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0" w:after="0"/>
        <w:jc w:val="both"/>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other tax attributes may be limited.</w:t>
      </w:r>
    </w:p>
    <w:p>
      <w:pPr>
        <w:pStyle w:val="TextBody"/>
        <w:bidi w:val="0"/>
        <w:spacing w:lineRule="auto" w:line="268" w:before="0" w:after="200"/>
        <w:jc w:val="both"/>
        <w:rPr/>
      </w:pPr>
      <w:r>
        <w:rPr>
          <w:rFonts w:ascii="Times New Roman;serif" w:hAnsi="Times New Roman;serif"/>
          <w:b w:val="false"/>
          <w:color w:val="000000"/>
          <w:sz w:val="20"/>
          <w:shd w:fill="FFFFFF" w:val="clear"/>
        </w:rPr>
        <w:t>As of December 31, 2025, we had approx</w:t>
      </w:r>
      <w:r>
        <w:rPr>
          <w:rFonts w:ascii="Times New Roman;serif" w:hAnsi="Times New Roman;serif"/>
          <w:b w:val="false"/>
          <w:color w:val="000000"/>
          <w:sz w:val="20"/>
        </w:rPr>
        <w:t xml:space="preserve">imately $191.6 million of federal net operating losses, or NOLs. Federal NOLs generated in taxable years since inception, may be carried forward indefinitely, but the deductibility of such federal NOLs is limited to 80% of our taxable income. As of December 31, 2025, we had approximately $187.4 million of state NOLs. Of the state NOLs, some are of indefinite life, but most are of definite life with various expiration dates, beginning in 2039. As of December 31, 2025, we had approximately $7.5 million of federal research and development tax credit carryforwards. Federal tax credit carryforwards expire at various dates, beginning in 2040. As of December 31, 2025, we had approximately $1.0 million of state research and development tax credit carryforwards. The state tax credits, which have various carryforward rules, begin to expire in 2035.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Internal Revenue Code of 1986, as amended, or the Code, if a corporation undergoes an “ownership change,” generally defined as a greater than 50 percentage point change (by value) in its equity ownership by one or more “5-percent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acquisitions of assets and/or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in tax law could adversely affect our business and financial condition. </w:t>
      </w:r>
    </w:p>
    <w:p>
      <w:pPr>
        <w:pStyle w:val="TextBody"/>
        <w:bidi w:val="0"/>
        <w:spacing w:before="0" w:after="0"/>
        <w:ind w:left="0" w:right="0" w:firstLine="49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NOLs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become involved in securities class action litigation that could divert management’s attention and harm our business, and insurance coverage may not be sufficient to cover all costs and damages.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 Use of Proceeds from Initial Public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12, 2024, our Registration Statement on Form S-1 (No. 333-281722) relating to our IPO was declared effective by the SEC. There has been no material change in the planned use of proceeds from our IPO as described in our final prospectus filed with the SEC pursuant to Rule 424(b)(4) under the Securities Act on September 13,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 Issuer Repurchases of Equity Securities</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196" w:before="200" w:after="283"/>
        <w:jc w:val="both"/>
        <w:rPr>
          <w:rFonts w:ascii="Times New Roman;serif" w:hAnsi="Times New Roman;serif"/>
          <w:b/>
          <w:color w:val="000000"/>
          <w:sz w:val="20"/>
        </w:rPr>
      </w:pPr>
      <w:r>
        <w:rPr>
          <w:rFonts w:ascii="Times New Roman;serif" w:hAnsi="Times New Roman;serif"/>
          <w:b/>
          <w:color w:val="000000"/>
          <w:sz w:val="20"/>
        </w:rPr>
        <w: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196" w:before="200" w:after="283"/>
        <w:jc w:val="both"/>
        <w:rPr>
          <w:rFonts w:ascii="Times New Roman;serif" w:hAnsi="Times New Roman;serif"/>
          <w:b/>
          <w:color w:val="000000"/>
          <w:sz w:val="20"/>
        </w:rPr>
      </w:pPr>
      <w:r>
        <w:rPr>
          <w:rFonts w:ascii="Times New Roman;serif" w:hAnsi="Times New Roman;serif"/>
          <w:b/>
          <w:color w:val="000000"/>
          <w:sz w:val="20"/>
        </w:rPr>
        <w:t>(b)</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Departure of Chief Financial Officer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the board of directors (the “Board”) of Bicara Therapeutics Inc. (the “Company”) determined that Ivan Hyep will no longer serve as the Company’s Chief Financial Officer, Treasurer, Principal Financial Officer or Principal Accounting Officer, effective as of August 12, 2026 (the “CFO Transition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separation and release agreement (the “Separation Agreement”) with Mr. Hyep, effective as of the CFO Transition Date, pursuant to which he is entitled to receive (i) 12 months of salary continuation at a final base pay rate of $500,000 commencing on the CFO Transition Date and (ii) subject to copayment of premium amounts at the applicable active employees’ rate and proper election to continue COBRA health coverage, payment of the portion of the premium equal to the amount that the Company would have paid to provide health insurance to him had he remained employed through the earliest of (A) August 31, 2027, (B) his eligibility for group medical plan benefits under any other employer’s group medical plan, or (C) at the end of his COBRA health continuation eligibility for any reason. The Separation Agreement also contains non-disparagement and cooperation covenants, a reaffirmation of Mr. Hyep’s confidentiality and other restrictive covenant obligations, and a general release of claims by Mr. Hyep.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Mr. Hyep entered into a consulting agreement (the “Consulting Agreement”) with the Company, pursuant to which Mr. Hyep will provide consulting and transition advisory services to the Company from time to time. The Consulting Agreement commences on the CFO Transition Date and continues until February 15, 2027, unless terminated earlier by Mr. Hyep or the Company. As compensation for his services under the Consulting Agreement, Mr. Hyep’s existing equity grants will continue to vest in accordance with the terms of the underlying award agreements and the applicable equity plan for so long as he maintains a service relationship with the Company under the Consulting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summaries of the Separation Agreement and Consulting Agreement are not complete and are qualified in their entirety by the Separation Agreement and Consulting Agreement, copies of which the Company intends to file with the Securities and Exchange Commission (“SEC”) as exhibits to the Company’s Quarterly Report on Form 10-Q for the quarter ending September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Chief Financial Officer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the Board appointed Jennifer Larson as Chief Financial Officer, Treasurer, Principal Financial Officer and Principal Accounting Officer of the Company, effective as of the CFO Transition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Prior to joining the Company, Ms. Larson, age 51, served as Senior Vice President, Chief Financial Officer of Deciphera Pharmaceuticals, Inc. (“Deciphera”), a former publicly traded biopharmaceutical company, from August 2024 to July 2026, as the Senior Vice President of Finance and Investor Relations from December 2021 to September 2024, and as Vice President of Finance from June 2019 to December 2021. During this time, Ms. Larson supported the initial commercial scale-up of the business, including expansion outside the U.S., until the company was acquired by ONO Pharmaceuticals Co., Ltd. in June 2024. Prior to joining Deciphera, she served in various positions of increasing seniority at Alnylam Pharmaceuticals, Inc. (Nasdaq: ALNY) from October 2007 to June 2019, most recently as Senior Director, Finance. Earlier in her career, Ms. Larson was in the audit practice of Tofias PC, a public accounting firm. Ms. Larson is a Certified Public Accountant and graduated from the University of Massachusetts at Amherst with a B.S. in Finance and Accounting.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Ms. Larson’s appointment, the Company and Ms. Larson entered into an executive employment agreement, effective on the CFO Transition Date (the “Larson Employment Agreement”), substantially on the Form Employment Agreement (as defined below). The Larson Employment Agreement provides for Ms. Larson’s at-will employment. Ms. Larson’s base salary will be $520,000 and her target annual bonus amount will be 40% of her annual base salary.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Larson Employment Agreement is qualified in its entirety by reference to the Company’s Form of Executive Employment Agreement (the “Form Employment Agreement”), previously filed as Exhibit 10.6 to the Registrant’s Registration Statement on Form S-1 (File No. 333-281722) filed on August 22,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Larson Employment Agreement, Ms. Larson will also be granted a stock option award to purchase 285,000 shares of the Company’s common stock (the “Larson Option Award”). The Larson Option Award will be granted on the CFO Transition Date, at a per share exercise price equal to the closing price of the Company’s common stock on the Nasdaq Global Market on the CFO Transition Date. The Larson Option Award will be issued under the Company’s 2026 Inducement Plan, as amended, and is granted as a material inducement for entering employment with the Company in accordance with Nasdaq Listing Rule 5635(c)(4). One-fourth of the shares under the Larson Option Award will vest on the first anniversary of the CFO Transition Date, with the remaining shares vesting in 12 equal quarterly installments thereafter, subject to Ms. Larson’s continued service with the Company through each applicable vesting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Ms. Larson has also entered into the Company’s standard form of indemnification agreement, which was previously filed as Exhibit 10.4 to the Registrant’s Registration Statement on Form S-1/A (File No. 333-281722) filed on September 6,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as of the CFO Transition Date, Ms. Larson will be an “officer” as such term is used within the meaning of Section 16 of the Securities Exchange Act of 1934, as amended (a “Section 16 Officer”). There are no arrangements or understandings between Ms. Larson and any other persons pursuant to which Ms. Larson was appointed as Chief Financial Officer of the Company. In addition, there are no family relationships between Ms. Larson and any director or executive officer of the Company, and there are no transactions involving Ms. Larson requiring disclosure under Item 404(a) of Regulation 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Transition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Claire Mazumdar, Ph.D., the Company’s current Chief Executive Officer and Principal Executive Officer, will commence parental leave on September 1, 2026 (the “Interim CEO Transition Date”), during which time Dr. Mazumdar will remain an employee of the Company under the terms of her existing employment agreement. Effective on the Interim CEO Transition Date, Ryan Cohlhepp, PharmD, the Company’s current President and Chief Operating Officer, will assume the role of Interim Chief Executive Officer and Principal Executive Officer of the Company, in addition to his current titles.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2027 (the “CEO Transition Date”), Dr. Cohlhepp will become the Company’s President, Chief Executive Officer and Principal Executive Officer, and Dr. Mazumdar will transition to serve as a Strategic Advisor to the Company, remain a member of the Board and be appointed as Vice Chairperson of the Board.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Dr. Cohlhepp’s biographical information is set forth in the Company’s Proxy Statement filed with the SEC on April 27, 2026 (the “Proxy Statement”), and such information is incorporated herein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foregoing, on August 10, 2026, the Company entered into a transition agreement (the “Transition Agreement”) with Dr. Mazumdar with effectiveness on the Interim CEO Transition Date. Pursuant to the Transition Agreement, Dr. Mazumdar will remain employed and continue to receive her standard compensation during the period between the Interim CEO Transition Date and the CEO Transition Date. On December 31, 2026, Dr. Mazumdar’s employment with the Company will end, and she will receive her accrued base salary through the Date of Termination (as defined in the Transition Agreement), unpaid expense reimbursements, and any vested benefits the she may have under any employee benefit plan of the Company through the Date of Termination, which vested benefits shall be paid and/or provided in accordance with the terms of such employee benefit plan. Commencing on the CEO Transition Date, Dr. Mazumdar will receive a monthly fee in the amount of $29,166.67 for her services as a Strategic Advisor at approximately 21 hours per week, in addition to compensation under the Company’s Second Amended and Restated Non-Employee Director Compensation Policy, a copy of which the Company intends to file with the SEC as an exhibit to the Company’s Quarterly Report on Form 10-Q for the quarter ending September 30, 2026. Dr. Mazumdar’s services and compensation as a Strategic Advisor shall continue until December 31, 2027, unless sooner terminated in accordance with the Transition Agreement; provided that the Company and Dr. Mazumdar may mutually agree in writing to extend her advisory services beyond December 31, 2027, subject to the Board’s approval of the Chief Executive Officer’s proposal for the scope, budget, and extended duration of such extended service relationship. Dr. Mazumdar’s existing equity grants will continue to vest in accordance with the terms of the underlying award agreements and the applicable equity plan for so long as she maintains a service relationship with the Company either as a member of the Board or as a Strategic Advisor to the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Transition Agreement also replaces the severance and change in control provisions in Dr. Mazumdar’s current employment agreement, which is substantially on the Company’s Form Employment Agreement, with revised change in control protections. If a Specified Transaction (as defined in the Transition Agreement) occurs during the Transition Period (as defined in the Transition Agreement), the change in control provisions of Dr. Mazumdar’s current employment agreement, as summarized in the Executive Compensation section of the Proxy Statement, will continue to apply. If a Specified Transaction occurs during the applicable post-employment protection period, Dr. Mazumdar will be entitled to specified cash severance and equity acceleration benefits, subject to her execution and non-revocation of a release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Transition Agreement is not complete and is qualified in its entirety by the full text of the Transition Agreement, a copy of which the Company intends to file with the SEC as an exhibit to the Company’s Quarterly Report on Form 10-Q for the quarter ending September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Dr. Cohlhepp has entered into an amended and restated executive employment agreement (the “Cohlhepp Employment Agreement”), substantially on the Form Employment Agreement, effective as of the Interim CEO Transition Date. Pursuant to the Cohlhepp Employment Agreement, Dr. Cohlhepp’s annual base salary will increase from $617,400 to $675,000, effective as of the Interim CEO Transition Date, and his target annual bonus amount will be increased from 50% to 60% of his annual base salary. The Cohlhepp Employment Agreement also outlines the title transitions discussed above. Except as described herein, the material terms of the Cohlhepp Employment Agreement are substantially consistent with the terms of Dr. Cohlhepp’s prior employment agreement, which are summarized in the Executive Compensation section of the Proxy Statement.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Cohlhepp Employment Agreement is qualified in its entirety by reference to the Company’s Form Employment Agreement, previously filed as Exhibit 10.6 to the Registrant’s Registration Statement on Form S-1 (File No. 333-281722) filed on August 22,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Dr. Cohlhepp and any other persons pursuant to which Dr. Cohlhepp will be appointed as Interim Chief Executive Officer and then Chief Executive Officer of the Company.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 there are no family relationships between Dr. Cohlhepp and any director or executive officer of the Company, and there are no transactions involving Dr. Cohlhepp requiring disclosure under Item 404(a) of Regulation 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as of the CEO Transition Date, Tanya Green, the Company’s current Chief Development Officer, will be promoted to Chief Operating Officer and become a Section 16 Officer.</w:t>
      </w:r>
    </w:p>
    <w:p>
      <w:pPr>
        <w:pStyle w:val="TextBody"/>
        <w:bidi w:val="0"/>
        <w:spacing w:lineRule="auto" w:line="196" w:before="200" w:after="283"/>
        <w:jc w:val="both"/>
        <w:rPr>
          <w:rFonts w:ascii="Times New Roman;serif" w:hAnsi="Times New Roman;serif"/>
          <w:b/>
          <w:color w:val="000000"/>
          <w:sz w:val="20"/>
        </w:rPr>
      </w:pPr>
      <w:r>
        <w:rPr>
          <w:rFonts w:ascii="Times New Roman;serif" w:hAnsi="Times New Roman;serif"/>
          <w:b/>
          <w:color w:val="000000"/>
          <w:sz w:val="20"/>
        </w:rPr>
        <w:t xml:space="preserve">(c) </w:t>
      </w:r>
    </w:p>
    <w:p>
      <w:pPr>
        <w:pStyle w:val="TextBody"/>
        <w:bidi w:val="0"/>
        <w:spacing w:before="200" w:after="283"/>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adopted, modified,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314"/>
        <w:gridCol w:w="276"/>
        <w:gridCol w:w="277"/>
        <w:gridCol w:w="109"/>
        <w:gridCol w:w="109"/>
        <w:gridCol w:w="109"/>
        <w:gridCol w:w="2704"/>
        <w:gridCol w:w="2598"/>
        <w:gridCol w:w="3709"/>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3">
              <w:r>
                <w:rPr>
                  <w:rStyle w:val="InternetLink"/>
                  <w:rFonts w:ascii="Times New Roman;serif" w:hAnsi="Times New Roman;serif"/>
                  <w:b w:val="false"/>
                  <w:color w:val="0000FF"/>
                  <w:sz w:val="20"/>
                  <w:u w:val="single"/>
                </w:rPr>
                <w:t>Fifth Amended and Restated Certificate of Incorporation of the Registrant (incorporated by reference to Exhibit 3.1 to the Registrant’s Form 8-K (File No. 001-42271) filed on September 16, 2024).</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4">
              <w:r>
                <w:rPr>
                  <w:rStyle w:val="InternetLink"/>
                  <w:rFonts w:ascii="Times New Roman;serif" w:hAnsi="Times New Roman;serif"/>
                  <w:b w:val="false"/>
                  <w:color w:val="0000FF"/>
                  <w:sz w:val="20"/>
                  <w:u w:val="single"/>
                </w:rPr>
                <w:t>Third Amended and Restated Bylaws of the Registrant (incorporated by reference to Exhibit 3.2 to the Registrant’s Form 8-K (File No. 001-42271) filed on September 16, 2024).</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5">
              <w:r>
                <w:rPr>
                  <w:rStyle w:val="InternetLink"/>
                  <w:rFonts w:ascii="Times New Roman;serif" w:hAnsi="Times New Roman;serif"/>
                  <w:b w:val="false"/>
                  <w:color w:val="0000FF"/>
                  <w:sz w:val="20"/>
                  <w:u w:val="single"/>
                </w:rPr>
                <w:t>Specimen Common Stock Certificate (incorporated by reference to Exhibit 4.1 of the Registrant’s Registration Statement on Form S-1/A (File No. 333-281722) filed on September 6, 2024).</w:t>
              </w:r>
            </w:hyperlink>
            <w:r>
              <w:rPr>
                <w:color w:val="000000"/>
              </w:rPr>
              <w:t xml:space="preserve"> </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6">
              <w:r>
                <w:rPr>
                  <w:rStyle w:val="InternetLink"/>
                  <w:rFonts w:ascii="Times New Roman;serif" w:hAnsi="Times New Roman;serif"/>
                  <w:b w:val="false"/>
                  <w:color w:val="0000FF"/>
                  <w:sz w:val="20"/>
                  <w:u w:val="single"/>
                </w:rPr>
                <w:t>Amended and Restated Investors’ Rights Agreement among the Registrant and certain of its stockholders, dated December 6, 2023. (incorporated by reference to Exhibit 4.2 of the Registrant’s Registration Statement on Form S-1 (File No. 333-281722) filed on August 22, 2024).</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r:id="rId7">
              <w:r>
                <w:rPr>
                  <w:rStyle w:val="InternetLink"/>
                  <w:rFonts w:ascii="Times New Roman;serif" w:hAnsi="Times New Roman;serif"/>
                  <w:b w:val="false"/>
                  <w:color w:val="0000FF"/>
                  <w:sz w:val="20"/>
                  <w:u w:val="single"/>
                </w:rPr>
                <w:t>Form of Pre-Funded Warrant (incorporated by reference to Exhibit 4.1 of the Registrant’s Current Report on Form 8-K (File No. 001-42271) filed on February 26, 2026).</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a101bicara-2026inducementp.htm">
              <w:r>
                <w:rPr>
                  <w:rStyle w:val="InternetLink"/>
                  <w:rFonts w:ascii="Times New Roman;serif" w:hAnsi="Times New Roman;serif"/>
                  <w:b w:val="false"/>
                  <w:color w:val="000080"/>
                  <w:sz w:val="20"/>
                  <w:u w:val="single"/>
                </w:rPr>
                <w:t>2026 Inducement Plan</w:t>
              </w:r>
            </w:hyperlink>
            <w:hyperlink w:anchor="a101bicara-2026inducementp.htm">
              <w:r>
                <w:rPr>
                  <w:rStyle w:val="InternetLink"/>
                  <w:rFonts w:ascii="Times New Roman;serif" w:hAnsi="Times New Roman;serif"/>
                  <w:b w:val="false"/>
                  <w:color w:val="000080"/>
                  <w:sz w:val="20"/>
                  <w:u w:val="single"/>
                </w:rPr>
                <w:t>, as amended</w:t>
              </w:r>
            </w:hyperlink>
            <w:hyperlink w:anchor="a101bicara-2026inducementp.htm">
              <w:r>
                <w:rPr>
                  <w:rStyle w:val="InternetLink"/>
                  <w:rFonts w:ascii="Times New Roman;serif" w:hAnsi="Times New Roman;serif"/>
                  <w:b w:val="false"/>
                  <w:color w:val="000080"/>
                  <w:sz w:val="20"/>
                  <w:u w:val="single"/>
                </w:rPr>
                <w:t>,</w:t>
              </w:r>
            </w:hyperlink>
            <w:hyperlink w:anchor="a101bicara-2026inducementp.htm">
              <w:r>
                <w:rPr>
                  <w:rStyle w:val="InternetLink"/>
                  <w:rFonts w:ascii="Times New Roman;serif" w:hAnsi="Times New Roman;serif"/>
                  <w:b w:val="false"/>
                  <w:color w:val="000080"/>
                  <w:sz w:val="20"/>
                  <w:u w:val="single"/>
                </w:rPr>
                <w:t xml:space="preserve"> and form of award agreements thereunder</w:t>
              </w:r>
            </w:hyperlink>
            <w:hyperlink w:anchor="a101bicara-2026inducementp.htm">
              <w:r>
                <w:rPr>
                  <w:rStyle w:val="InternetLink"/>
                  <w:rFonts w:ascii="Times New Roman;serif" w:hAnsi="Times New Roman;serif"/>
                  <w:b w:val="false"/>
                  <w:color w:val="000080"/>
                  <w:sz w:val="20"/>
                  <w:u w:val="single"/>
                </w:rPr>
                <w:t>.</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bicara-q210xqexxdr_separ.htm">
              <w:r>
                <w:rPr>
                  <w:rStyle w:val="InternetLink"/>
                  <w:rFonts w:ascii="Times New Roman;serif" w:hAnsi="Times New Roman;serif"/>
                  <w:b w:val="false"/>
                  <w:color w:val="0000FF"/>
                  <w:sz w:val="20"/>
                  <w:u w:val="single"/>
                </w:rPr>
                <w:t>Separation Agreement, by and between the Registrant and David Raben, M.D., dated May 7, 2026.</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bicara-q210xqexxdr_consu.htm">
              <w:r>
                <w:rPr>
                  <w:rStyle w:val="InternetLink"/>
                  <w:rFonts w:ascii="Times New Roman;serif" w:hAnsi="Times New Roman;serif"/>
                  <w:b w:val="false"/>
                  <w:color w:val="0000FF"/>
                  <w:sz w:val="20"/>
                  <w:u w:val="single"/>
                </w:rPr>
                <w:t>Consulting Agreement, by and between the Registrant and David Raben, M.D., dated May 7, 2026.</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11q2-26.htm">
              <w:r>
                <w:rPr>
                  <w:rStyle w:val="InternetLink"/>
                  <w:rFonts w:ascii="Times New Roman;serif" w:hAnsi="Times New Roman;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11q2-26.htm">
              <w:r>
                <w:rPr>
                  <w:rStyle w:val="InternetLink"/>
                  <w:rFonts w:ascii="Times New Roman;serif" w:hAnsi="Times New Roman;serif"/>
                  <w:b w:val="false"/>
                  <w:color w:val="0000FF"/>
                  <w:sz w:val="20"/>
                  <w:u w:val="single"/>
                </w:rPr>
                <w:t>Certification of the Principal Executive Officer pursuant to Rule 13a-14(a) and Rule 15d-14(a) promulgated under the Exchange Act.</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12q2-26.htm">
              <w:r>
                <w:rPr>
                  <w:rStyle w:val="InternetLink"/>
                  <w:rFonts w:ascii="Times New Roman;serif" w:hAnsi="Times New Roman;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12q2-26.htm">
              <w:r>
                <w:rPr>
                  <w:rStyle w:val="InternetLink"/>
                  <w:rFonts w:ascii="Times New Roman;serif" w:hAnsi="Times New Roman;serif"/>
                  <w:b w:val="false"/>
                  <w:color w:val="0000FF"/>
                  <w:sz w:val="20"/>
                  <w:u w:val="single"/>
                </w:rPr>
                <w:t>Certification of the Principal Financial Officer pursuant to Rule 13a-14(a) and Rule 15d-14(a) promulgated under the Exchange Act.</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21q2-26.htm">
              <w:r>
                <w:rPr>
                  <w:rStyle w:val="InternetLink"/>
                  <w:rFonts w:ascii="Times New Roman;serif" w:hAnsi="Times New Roman;serif"/>
                  <w:b w:val="false"/>
                  <w:color w:val="000000"/>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exhibit321q2-26.htm">
              <w:r>
                <w:rPr>
                  <w:rStyle w:val="InternetLink"/>
                  <w:rFonts w:ascii="Times New Roman;serif" w:hAnsi="Times New Roman;serif"/>
                  <w:b w:val="false"/>
                  <w:color w:val="0000FF"/>
                  <w:sz w:val="20"/>
                  <w:u w:val="single"/>
                </w:rPr>
                <w:t>Certification of the Principal Executive Officer and Principal Financial Officer pursuant to 18 U.S.C. Section 1350, as adopted pursuant to Section 906 of the Sarbanes-Oxley Act of 2002.</w:t>
              </w:r>
            </w:hyperlink>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1"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1"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869"/>
        <w:gridCol w:w="2810"/>
        <w:gridCol w:w="38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 </w:t>
            </w:r>
          </w:p>
        </w:tc>
      </w:tr>
      <w:tr>
        <w:trPr/>
        <w:tc>
          <w:tcPr>
            <w:tcW w:w="34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any compensatory plan, contract or arrangement.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00"/>
        <w:jc w:val="left"/>
        <w:rPr/>
      </w:pPr>
      <w:r>
        <w:rPr/>
      </w:r>
    </w:p>
    <w:tbl>
      <w:tblPr>
        <w:tblW w:w="708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49"/>
        <w:gridCol w:w="349"/>
        <w:gridCol w:w="349"/>
        <w:gridCol w:w="1096"/>
        <w:gridCol w:w="1096"/>
        <w:gridCol w:w="157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Bicara Therapeutics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 Claire Mazumdar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Claire Mazumdar,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/s/ Ivan Hyep</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Ivan Hyep</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8"/>
        </w:rPr>
      </w:pPr>
      <w:r>
        <w:rPr>
          <w:rFonts w:ascii="Times New Roman;serif" w:hAnsi="Times New Roman;serif"/>
          <w:b/>
          <w:color w:val="000000"/>
          <w:sz w:val="28"/>
        </w:rPr>
        <w:t>BICARA THERAPEUTICS INC.</w:t>
        <w:br/>
        <w:t>2026 INDUCEMENT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GENERAL PURPOSE OF THE PLAN; 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name of the plan is the Bicara Therapeutics Inc. 2026 Inducement Plan (as amended from time to time,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The purpose of the Plan is to enable Bicara Therapeutics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its Affiliates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 The Company intends that the Plan be reserved for persons to whom the Company may issue securities without stockholder approval as an inducement pursuant to Rule 5635(c)(4) of the Marketplace Rules of The Nasdaq Stock Market LLC.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terms shall be defined as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Act”</w:t>
      </w:r>
      <w:r>
        <w:rPr>
          <w:color w:val="000000"/>
        </w:rPr>
        <w:t xml:space="preserve"> </w:t>
      </w:r>
      <w:r>
        <w:rPr>
          <w:rFonts w:ascii="Times New Roman;serif" w:hAnsi="Times New Roman;serif"/>
          <w:b w:val="false"/>
          <w:color w:val="000000"/>
          <w:sz w:val="24"/>
        </w:rPr>
        <w:t>means the U.S. Securities Act of 1933, as amended, and the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Administrator”</w:t>
      </w:r>
      <w:r>
        <w:rPr>
          <w:color w:val="000000"/>
        </w:rPr>
        <w:t xml:space="preserve"> </w:t>
      </w:r>
      <w:r>
        <w:rPr>
          <w:rFonts w:ascii="Times New Roman;serif" w:hAnsi="Times New Roman;serif"/>
          <w:b w:val="false"/>
          <w:color w:val="000000"/>
          <w:sz w:val="24"/>
        </w:rPr>
        <w:t>means either the Board or the compensation committee of the Board or a similar committee performing the functions of the compensation committee that is comprised of not less than two Non-Employee Directors who are independent.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 xml:space="preserve">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Award”</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Awards,”</w:t>
      </w:r>
      <w:r>
        <w:rPr>
          <w:color w:val="000000"/>
        </w:rPr>
        <w:t xml:space="preserve"> </w:t>
      </w:r>
      <w:r>
        <w:rPr>
          <w:rFonts w:ascii="Times New Roman;serif" w:hAnsi="Times New Roman;serif"/>
          <w:b w:val="false"/>
          <w:color w:val="000000"/>
          <w:sz w:val="24"/>
        </w:rPr>
        <w:t>except where referring to a particular category of grant under the Plan, includes Stock Options, Stock Appreciation Rights, Restricted Stock Awards, Restricted Stock Units, Unrestricted Stock Awards, and Dividend Equivalent Rights.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Award Certificate”</w:t>
      </w:r>
      <w:r>
        <w:rPr>
          <w:color w:val="000000"/>
        </w:rPr>
        <w:t xml:space="preserve"> </w:t>
      </w:r>
      <w:r>
        <w:rPr>
          <w:rFonts w:ascii="Times New Roman;serif" w:hAnsi="Times New Roman;serif"/>
          <w:b w:val="false"/>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and any successor Code, and related rules, regulations and interpretations.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59435"/>
                <wp:effectExtent l="0" t="0" r="0" b="0"/>
                <wp:wrapNone/>
                <wp:docPr id="96" name="Frame95"/>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ACTIVE/203690547.3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ACTIVE/203690547.3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Consultant”</w:t>
      </w:r>
      <w:r>
        <w:rPr>
          <w:color w:val="000000"/>
        </w:rPr>
        <w:t xml:space="preserve"> </w:t>
      </w:r>
      <w:r>
        <w:rPr>
          <w:rFonts w:ascii="Times New Roman;serif" w:hAnsi="Times New Roman;serif"/>
          <w:b w:val="false"/>
          <w:color w:val="000000"/>
          <w:sz w:val="24"/>
        </w:rPr>
        <w:t xml:space="preserve">means a consultant or adviser who provides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services to the Company or an Affiliate as an independent contractor and who qualifies as a consultant or advisor under Instruction A.1.(a)(1) of Form S-8 under the Act.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Dividend Equivalent Right”</w:t>
      </w:r>
      <w:r>
        <w:rPr>
          <w:color w:val="000000"/>
        </w:rPr>
        <w:t xml:space="preserve"> </w:t>
      </w:r>
      <w:r>
        <w:rPr>
          <w:rFonts w:ascii="Times New Roman;serif" w:hAnsi="Times New Roman;serif"/>
          <w:b w:val="false"/>
          <w:color w:val="000000"/>
          <w:sz w:val="24"/>
        </w:rPr>
        <w:t>means an Award entitling the grantee to receive credits based on ordinary cash dividends that would have been paid on the shares of Stock specified in the Dividend Equivalent Right (or other Award to which it relates) granted pursuant to Section 10.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Effective Date”</w:t>
      </w:r>
      <w:r>
        <w:rPr>
          <w:color w:val="000000"/>
        </w:rPr>
        <w:t xml:space="preserve"> </w:t>
      </w:r>
      <w:r>
        <w:rPr>
          <w:rFonts w:ascii="Times New Roman;serif" w:hAnsi="Times New Roman;serif"/>
          <w:b w:val="false"/>
          <w:color w:val="000000"/>
          <w:sz w:val="24"/>
        </w:rPr>
        <w:t>means the date on which the Plan becomes effective as set forth in Section 18.</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Eligible Employee</w:t>
      </w:r>
      <w:r>
        <w:rPr>
          <w:color w:val="000000"/>
        </w:rPr>
        <w:t xml:space="preserve">” </w:t>
      </w:r>
      <w:r>
        <w:rPr>
          <w:rFonts w:ascii="Times New Roman;serif" w:hAnsi="Times New Roman;serif"/>
          <w:b w:val="false"/>
          <w:color w:val="000000"/>
          <w:sz w:val="24"/>
        </w:rPr>
        <w:t>means any individual who was not previously an employee or a Non-Employee Director of the Company or any of its Affiliates (or who has had a bona fide period of non-employment with the Company and its Affiliates), who is hired as a full or part-time employee by the Company or one of its Affiliates, and for whom the Award is being made as an inducement material to the individual’s entering into such employment.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serif" w:hAnsi="Times New Roman;serif"/>
          <w:b w:val="false"/>
          <w:i/>
          <w:color w:val="000000"/>
          <w:sz w:val="24"/>
        </w:rPr>
        <w:t>NASDAQ</w:t>
      </w:r>
      <w:r>
        <w:rPr>
          <w:color w:val="000000"/>
        </w:rPr>
        <w:t>”</w:t>
      </w:r>
      <w:r>
        <w:rPr>
          <w:rFonts w:ascii="Times New Roman;serif" w:hAnsi="Times New Roman;serif"/>
          <w:b w:val="false"/>
          <w:color w:val="000000"/>
          <w:sz w:val="24"/>
        </w:rPr>
        <w:t>), the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Non-Employee Director”</w:t>
      </w:r>
      <w:r>
        <w:rPr>
          <w:color w:val="000000"/>
        </w:rPr>
        <w:t xml:space="preserve"> </w:t>
      </w:r>
      <w:r>
        <w:rPr>
          <w:rFonts w:ascii="Times New Roman;serif" w:hAnsi="Times New Roman;serif"/>
          <w:b w:val="false"/>
          <w:color w:val="000000"/>
          <w:sz w:val="24"/>
        </w:rPr>
        <w:t>means a member of the Board who is not also an employee of the Company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Option”</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Stock Option”</w:t>
      </w:r>
      <w:r>
        <w:rPr>
          <w:color w:val="000000"/>
        </w:rPr>
        <w:t xml:space="preserve"> </w:t>
      </w:r>
      <w:r>
        <w:rPr>
          <w:rFonts w:ascii="Times New Roman;serif" w:hAnsi="Times New Roman;serif"/>
          <w:b w:val="false"/>
          <w:color w:val="000000"/>
          <w:sz w:val="24"/>
        </w:rPr>
        <w:t>means any option to purchase shares of Stock granted pursuant to Section 5.</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Outstanding Shares” </w:t>
      </w:r>
      <w:r>
        <w:rPr>
          <w:rFonts w:ascii="Times New Roman;serif" w:hAnsi="Times New Roman;serif"/>
          <w:b w:val="false"/>
          <w:color w:val="000000"/>
          <w:sz w:val="24"/>
        </w:rPr>
        <w:t>means, as of a specified date, the sum of (a) the number of shares of Stock issued and outstanding and (b) the number of shares of Stock issuable pursuant to the exercise of any outstanding, pre-funded warrants to acquire Stock for a nominal exercise price.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Shares”</w:t>
      </w:r>
      <w:r>
        <w:rPr>
          <w:color w:val="000000"/>
        </w:rPr>
        <w:t xml:space="preserve"> </w:t>
      </w:r>
      <w:r>
        <w:rPr>
          <w:rFonts w:ascii="Times New Roman;serif" w:hAnsi="Times New Roman;serif"/>
          <w:b w:val="false"/>
          <w:color w:val="000000"/>
          <w:sz w:val="24"/>
        </w:rPr>
        <w:t>means the shares of Stock underlying a Restricted Stock Award that remain subject to a risk of forfeiture or the Company’s right of repurchase.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Stock Award”</w:t>
      </w:r>
      <w:r>
        <w:rPr>
          <w:color w:val="000000"/>
        </w:rPr>
        <w:t xml:space="preserve"> </w:t>
      </w:r>
      <w:r>
        <w:rPr>
          <w:rFonts w:ascii="Times New Roman;serif" w:hAnsi="Times New Roman;serif"/>
          <w:b w:val="false"/>
          <w:color w:val="000000"/>
          <w:sz w:val="24"/>
        </w:rPr>
        <w:t>means an Award of Restricted Shares granted pursuant to Section 7.</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Restricted Stock Units”</w:t>
      </w:r>
      <w:r>
        <w:rPr>
          <w:color w:val="000000"/>
        </w:rPr>
        <w:t xml:space="preserve"> </w:t>
      </w:r>
      <w:r>
        <w:rPr>
          <w:rFonts w:ascii="Times New Roman;serif" w:hAnsi="Times New Roman;serif"/>
          <w:b w:val="false"/>
          <w:color w:val="000000"/>
          <w:sz w:val="24"/>
        </w:rPr>
        <w:t>means an Award of stock units granted pursuant to Section 8.</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38835"/>
                <wp:effectExtent l="0" t="0" r="0" b="0"/>
                <wp:wrapNone/>
                <wp:docPr id="97" name="Frame96"/>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Sale Event”</w:t>
      </w:r>
      <w:r>
        <w:rPr>
          <w:color w:val="000000"/>
        </w:rPr>
        <w:t xml:space="preserve"> </w:t>
      </w:r>
      <w:r>
        <w:rPr>
          <w:rFonts w:ascii="Times New Roman;serif" w:hAnsi="Times New Roman;serif"/>
          <w:b w:val="false"/>
          <w:color w:val="000000"/>
          <w:sz w:val="24"/>
        </w:rPr>
        <w:t>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Sale Price</w:t>
      </w:r>
      <w:r>
        <w:rPr>
          <w:color w:val="000000"/>
        </w:rPr>
        <w:t xml:space="preserve">” </w:t>
      </w:r>
      <w:r>
        <w:rPr>
          <w:rFonts w:ascii="Times New Roman;serif" w:hAnsi="Times New Roman;serif"/>
          <w:b w:val="false"/>
          <w:color w:val="000000"/>
          <w:sz w:val="24"/>
        </w:rPr>
        <w:t>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Section 409A”</w:t>
      </w:r>
      <w:r>
        <w:rPr>
          <w:color w:val="000000"/>
        </w:rPr>
        <w:t xml:space="preserve"> </w:t>
      </w:r>
      <w:r>
        <w:rPr>
          <w:rFonts w:ascii="Times New Roman;serif" w:hAnsi="Times New Roman;serif"/>
          <w:b w:val="false"/>
          <w:color w:val="000000"/>
          <w:sz w:val="24"/>
        </w:rPr>
        <w:t>means Section 409A of the Code and the regulations and other guidance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 xml:space="preserve">Service Relationship” </w:t>
      </w:r>
      <w:r>
        <w:rPr>
          <w:rFonts w:ascii="Times New Roman;serif" w:hAnsi="Times New Roman;serif"/>
          <w:b w:val="false"/>
          <w:color w:val="000000"/>
          <w:sz w:val="24"/>
        </w:rPr>
        <w:t>means any relationship as an employee, Non-Employee Director or Consultant of the Company or any Affiliate (e.g., a Service Relationship shall be deemed to continue without interruption in the event a grantee’s status changes from full-time employee or a grantee’s status changes from employee to Consultant or Non-Employee Director, provided that there is no interruption or other termination of Service Relationship in connection with the grantee’s change in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Stock”</w:t>
      </w:r>
      <w:r>
        <w:rPr>
          <w:color w:val="000000"/>
        </w:rPr>
        <w:t xml:space="preserve"> </w:t>
      </w:r>
      <w:r>
        <w:rPr>
          <w:rFonts w:ascii="Times New Roman;serif" w:hAnsi="Times New Roman;serif"/>
          <w:b w:val="false"/>
          <w:color w:val="000000"/>
          <w:sz w:val="24"/>
        </w:rPr>
        <w:t>means the Common Stock, par value $0.0001 per share, of the Company, subject to adjustments pursuant to Section 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Stock Appreciation Right”</w:t>
      </w:r>
      <w:r>
        <w:rPr>
          <w:color w:val="000000"/>
        </w:rPr>
        <w:t xml:space="preserve"> </w:t>
      </w:r>
      <w:r>
        <w:rPr>
          <w:rFonts w:ascii="Times New Roman;serif" w:hAnsi="Times New Roman;serif"/>
          <w:b w:val="false"/>
          <w:color w:val="000000"/>
          <w:sz w:val="24"/>
        </w:rPr>
        <w:t>means an Award entitling the recipient to receive shares of Stock (or cash, to the extent explicitly provided for in the applicable Award Certificate) granted pursuant to Section 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any corporation or other entity (other than the Company) in which the Company has at least a 50 percent interest, either directly or indirectly.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Stock Award”</w:t>
      </w:r>
      <w:r>
        <w:rPr>
          <w:color w:val="000000"/>
        </w:rPr>
        <w:t xml:space="preserve"> </w:t>
      </w:r>
      <w:r>
        <w:rPr>
          <w:rFonts w:ascii="Times New Roman;serif" w:hAnsi="Times New Roman;serif"/>
          <w:b w:val="false"/>
          <w:color w:val="000000"/>
          <w:sz w:val="24"/>
        </w:rPr>
        <w:t>means an Award of shares of Stock free of any restrictions granted pursuant to Section 9.</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38835"/>
                <wp:effectExtent l="0" t="0" r="0" b="0"/>
                <wp:wrapNone/>
                <wp:docPr id="98" name="Frame97"/>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ADMINISTRATION OF PLAN; ADMINISTRATOR AUTHORITY TO SELECT GRANTEES AND DETERMINE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Administration of Plan</w:t>
      </w:r>
      <w:r>
        <w:rPr>
          <w:rFonts w:ascii="Times New Roman;serif" w:hAnsi="Times New Roman;serif"/>
          <w:b w:val="false"/>
          <w:color w:val="000000"/>
          <w:sz w:val="24"/>
        </w:rPr>
        <w:t>. The Plan shall be administered by the Administrator.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Powers of Administrator</w:t>
      </w:r>
      <w:r>
        <w:rPr>
          <w:rFonts w:ascii="Times New Roman;serif" w:hAnsi="Times New Roman;serif"/>
          <w:b w:val="false"/>
          <w:color w:val="000000"/>
          <w:sz w:val="24"/>
        </w:rPr>
        <w:t>. The Administrator shall have the power and authority to grant Awards consistent with the terms of the Plan, including the power and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select the individuals to whom Awards may from time to time be granted, provided, such individuals are Eligible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to determine the number of shares of Stock to be covered by any Award;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to accelerate at any time the exercisability or vesting of all or any portion of any Award;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subject to the provisions of Section 5(c) or Section 6(d), as applicable, to extend at any time the period in which Stock Options or Stock Appreciation Rights, respectively, may be exercised;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at any time to adopt, alter and repeal such rules, guidelines and practices for administration of the Plan and for its own acts and proceedings as it shall deem advisable;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 xml:space="preserve">to interpret the terms and provisions of the Plan and any Award (including related written and electronic instruments);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 xml:space="preserve">to make all determinations it deems advisable for the administration of the Plan; to decide all disputes arising in connection with the Plan;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to otherwise supervise the administration of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decisions and interpretations of the Administrator shall be binding on all persons, including the Company, Affiliates and Plan grantees.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Award Certificate</w:t>
      </w:r>
      <w:r>
        <w:rPr>
          <w:rFonts w:ascii="Times New Roman;serif" w:hAnsi="Times New Roman;serif"/>
          <w:b w:val="false"/>
          <w:color w:val="000000"/>
          <w:sz w:val="24"/>
        </w:rPr>
        <w:t>. Awards under the Plan shall be evidenced by Award Certificates that set forth the terms, conditions and limitations for each Award, which may include, without limitation, the term of an Award and the provisions applicable in the event the Service Relationship terminates.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Neither the Board nor the Administrator, nor any member of either or any delegate thereof, shall be liable for any act, omission, interpretation,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38835"/>
                <wp:effectExtent l="0" t="0" r="0" b="0"/>
                <wp:wrapNone/>
                <wp:docPr id="99" name="Frame98"/>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Non-U.S. Award Recipients</w:t>
      </w:r>
      <w:r>
        <w:rPr>
          <w:rFonts w:ascii="Times New Roman;serif" w:hAnsi="Times New Roman;serif"/>
          <w:b w:val="false"/>
          <w:color w:val="000000"/>
          <w:sz w:val="24"/>
        </w:rPr>
        <w:t>. Notwithstanding any provision of the Plan to the contrary, in order to comply, or facilitate compliance, with the laws in other countries in which the Company and its Affiliates operate or have employees eligible for Awards, the Administrator, in its sole discretion, shall have the power and authority to: (i) determine which Affiliates shall be covered by the Plan; (ii) determine which Eligible Employees outside the United States are eligible to participate in the Plan; (iii) modify the terms and conditions of any Award granted to individuals outside the United States to comply, or facilitate compliance,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and subject to Nasdaq listing Rule 5635(c)(4) and related guidelines and interpretations; provided, however, that no such subplans and/or modifications shall increase the share limitations contained in Section 3(a) hereof; and (v) take any action, before or after</w:t>
      </w:r>
      <w:r>
        <w:rPr>
          <w:color w:val="000000"/>
        </w:rPr>
        <w:t xml:space="preserve"> </w:t>
      </w:r>
      <w:r>
        <w:rPr>
          <w:rFonts w:ascii="Times New Roman;serif" w:hAnsi="Times New Roman;serif"/>
          <w:b w:val="false"/>
          <w:color w:val="000000"/>
          <w:sz w:val="24"/>
        </w:rPr>
        <w:t>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STOCK ISSUABLE UNDER THE PLAN; MERGERS; SUBSTITUTION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Issuable</w:t>
      </w:r>
      <w:r>
        <w:rPr>
          <w:rFonts w:ascii="Times New Roman;serif" w:hAnsi="Times New Roman;serif"/>
          <w:b w:val="false"/>
          <w:color w:val="000000"/>
          <w:sz w:val="24"/>
        </w:rPr>
        <w:t xml:space="preserve">. The maximum number of shares of Stock reserved and available for issuance under the Plan shall be 1,000,000 shares, in all cases subject to adjustment as provided in this Section 3(b). For purposes of these limitations,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Changes in Stock</w:t>
      </w:r>
      <w:r>
        <w:rPr>
          <w:rFonts w:ascii="Times New Roman;serif" w:hAnsi="Times New Roman;serif"/>
          <w:b w:val="false"/>
          <w:color w:val="000000"/>
          <w:sz w:val="24"/>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38835"/>
                <wp:effectExtent l="0" t="0" r="0" b="0"/>
                <wp:wrapNone/>
                <wp:docPr id="100" name="Frame99"/>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Mergers and Other Transactions</w:t>
      </w:r>
      <w:r>
        <w:rPr>
          <w:rFonts w:ascii="Times New Roman;serif" w:hAnsi="Times New Roman;serif"/>
          <w:b w:val="false"/>
          <w:color w:val="000000"/>
          <w:sz w:val="24"/>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(as applicable) or nonforfeitable as of the effective time of the Sale Event, and all Awards with conditions and restrictions relating to the attainment of performance goals may become vested and exercisable (as applicable)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an amount equal to the Sale Price multiplied by the number of vested shares of Stock under such Awards (after taking into account any acceleration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Grantees under the Plan will be Eligible Employees to whom the Company may issue securities without stockholder approval in accordance with Rules 5635(c)(4) of the Marketplace Rules of The Nasdaq Stock Market LLC as are selected from time to time by the Administrator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38835"/>
                <wp:effectExtent l="0" t="0" r="0" b="0"/>
                <wp:wrapNone/>
                <wp:docPr id="101" name="Frame100"/>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STOCK OPTIONS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Stock Options granted pursuant to this Section 5 shall be subject to the following terms and conditions and shall contain such additional terms and conditions, not inconsistent with the terms of the Plan, as the Administrator deems desirable.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Options</w:t>
      </w:r>
      <w:r>
        <w:rPr>
          <w:rFonts w:ascii="Times New Roman;serif" w:hAnsi="Times New Roman;serif"/>
          <w:b w:val="false"/>
          <w:color w:val="000000"/>
          <w:sz w:val="24"/>
        </w:rPr>
        <w:t>. The Administrator may grant Stock Options under the Plan. Any Stock Option granted under the Plan shall be non-qualified stock options.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exercise price per share for the Stock covered by a Stock Option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Option Term</w:t>
      </w:r>
      <w:r>
        <w:rPr>
          <w:rFonts w:ascii="Times New Roman;serif" w:hAnsi="Times New Roman;serif"/>
          <w:b w:val="false"/>
          <w:color w:val="000000"/>
          <w:sz w:val="24"/>
        </w:rPr>
        <w:t xml:space="preserve">. The term of each Stock Option shall be fixed by the Administrator, but no Stock Option shall be exercisable more than ten years after the date the Stock Option is granted.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 Rights of a Stockholder</w:t>
      </w:r>
      <w:r>
        <w:rPr>
          <w:rFonts w:ascii="Times New Roman;serif" w:hAnsi="Times New Roman;serif"/>
          <w:b w:val="false"/>
          <w:color w:val="000000"/>
          <w:sz w:val="24"/>
        </w:rPr>
        <w:t>. Stock Options shall become exercisable at such time or times, whether or not in installments, as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In cash, by certified or bank check or other instrument acceptable to the Administrator;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38835"/>
                <wp:effectExtent l="0" t="0" r="0" b="0"/>
                <wp:wrapNone/>
                <wp:docPr id="102" name="Frame101"/>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STOCK APPRECIATION RIGHTS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Appreciation Rights</w:t>
      </w:r>
      <w:r>
        <w:rPr>
          <w:rFonts w:ascii="Times New Roman;serif" w:hAnsi="Times New Roman;serif"/>
          <w:b w:val="false"/>
          <w:color w:val="000000"/>
          <w:sz w:val="24"/>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 of Stock Appreciation Rights</w:t>
      </w:r>
      <w:r>
        <w:rPr>
          <w:rFonts w:ascii="Times New Roman;serif" w:hAnsi="Times New Roman;serif"/>
          <w:b w:val="false"/>
          <w:color w:val="000000"/>
          <w:sz w:val="24"/>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Grant and Exercise of Stock Appreciation Rights</w:t>
      </w:r>
      <w:r>
        <w:rPr>
          <w:rFonts w:ascii="Times New Roman;serif" w:hAnsi="Times New Roman;serif"/>
          <w:b w:val="false"/>
          <w:color w:val="000000"/>
          <w:sz w:val="24"/>
        </w:rPr>
        <w:t>. Stock Appreciation Rights may be granted by the Administrator independently of any Stock Option granted pursuant to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Terms and Conditions of Stock Appreciation Rights</w:t>
      </w:r>
      <w:r>
        <w:rPr>
          <w:rFonts w:ascii="Times New Roman;serif" w:hAnsi="Times New Roman;serif"/>
          <w:b w:val="false"/>
          <w:color w:val="000000"/>
          <w:sz w:val="24"/>
        </w:rPr>
        <w:t>. Stock Appreciation Rights shall be subject to such terms and conditions as determined by the Administrator on or after the date of grant. The term of a Stock Appreciation Right may not exceed ten years. The Administrator may at any time accelerate the exercisability of all or any portion of any Stock Appreciation Right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RESTRICTED STOCK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Awards</w:t>
      </w:r>
      <w:r>
        <w:rPr>
          <w:rFonts w:ascii="Times New Roman;serif" w:hAnsi="Times New Roman;serif"/>
          <w:b w:val="false"/>
          <w:color w:val="000000"/>
          <w:sz w:val="24"/>
        </w:rPr>
        <w:t xml:space="preserve">. The Administrator may grant Restricted Stock Awards under the Plan. A Restricted Stock Award is any Award of Restricted Shares subject to such restrictions and conditions as the Administrator determines at or after the time of grant.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38835"/>
                <wp:effectExtent l="0" t="0" r="0" b="0"/>
                <wp:wrapNone/>
                <wp:docPr id="103" name="Frame102"/>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xml:space="preserve">. Upon the grant of the Restricted Stock Award and payment of any applicable purchase price,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Restrictions</w:t>
      </w:r>
      <w:r>
        <w:rPr>
          <w:rFonts w:ascii="Times New Roman;serif" w:hAnsi="Times New Roman;serif"/>
          <w:b w:val="false"/>
          <w:color w:val="000000"/>
          <w:sz w:val="24"/>
        </w:rPr>
        <w:t>. Restricted Shares may not be sold, assigned, transferred, pledged or otherwise encumbered or disposed of except as specifically provided herein or in the Award Certificate. Except as otherwise provided by the Administrator either in the Award Certificate or, subject to Section 15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Vesting of Restricted Shares</w:t>
      </w:r>
      <w:r>
        <w:rPr>
          <w:rFonts w:ascii="Times New Roman;serif" w:hAnsi="Times New Roman;serif"/>
          <w:b w:val="false"/>
          <w:color w:val="000000"/>
          <w:sz w:val="24"/>
        </w:rPr>
        <w:t>.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RESTRICTED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Units</w:t>
      </w:r>
      <w:r>
        <w:rPr>
          <w:rFonts w:ascii="Times New Roman;serif" w:hAnsi="Times New Roman;serif"/>
          <w:b w:val="false"/>
          <w:color w:val="000000"/>
          <w:sz w:val="24"/>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Certificate). Restricted Stock Units with deferred settlement dates granted to U.S. taxpayers shall contain such additional terms and conditions as the Administrator shall determine in its sole discretion in order to comply with the requirements of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10 and such terms and conditions as the Administrator may determine.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38835"/>
                <wp:effectExtent l="0" t="0" r="0" b="0"/>
                <wp:wrapNone/>
                <wp:docPr id="104" name="Frame10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otherwise provided by the Administrator either in the Award Certificate or, subject to Section 15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UNRESTRICTED STOCK AWARDS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Grant or Sale of Unrestricted Stock</w:t>
      </w:r>
      <w:r>
        <w:rPr>
          <w:rFonts w:ascii="Times New Roman;serif" w:hAnsi="Times New Roman;serif"/>
          <w:b w:val="false"/>
          <w:color w:val="000000"/>
          <w:sz w:val="24"/>
        </w:rPr>
        <w:t xml:space="preserve">.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DIVIDEND EQUIVALENT RIGHTS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Dividend Equivalent Rights</w:t>
      </w:r>
      <w:r>
        <w:rPr>
          <w:rFonts w:ascii="Times New Roman;serif" w:hAnsi="Times New Roman;serif"/>
          <w:b w:val="false"/>
          <w:color w:val="000000"/>
          <w:sz w:val="24"/>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Certificate or, subject to Section 15 below, in writing after the Award is issued, a grantee’s rights in all Dividend Equivalent Rights shall automatically terminate upon the grantee’s termination of employment (or cessation of Service Relationship) with the Company and its Affiliates for any reason.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TRANSFERABILITY OF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Except as provided in Section 11(b) below or otherwise determined by the Administrator,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Administrator Action</w:t>
      </w:r>
      <w:r>
        <w:rPr>
          <w:rFonts w:ascii="Times New Roman;serif" w:hAnsi="Times New Roman;serif"/>
          <w:b w:val="false"/>
          <w:color w:val="000000"/>
          <w:sz w:val="24"/>
        </w:rPr>
        <w:t xml:space="preserve">. Notwithstanding Section 11(a), the Administrator, in its discretion, may provide either in the Award Certificate regarding a given Award or by subsequent written approval that the grantee may transfer such grantee’s Awards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38835"/>
                <wp:effectExtent l="0" t="0" r="0" b="0"/>
                <wp:wrapNone/>
                <wp:docPr id="105" name="Frame104"/>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Family Member</w:t>
      </w:r>
      <w:r>
        <w:rPr>
          <w:rFonts w:ascii="Times New Roman;serif" w:hAnsi="Times New Roman;serif"/>
          <w:b w:val="false"/>
          <w:color w:val="000000"/>
          <w:sz w:val="24"/>
        </w:rPr>
        <w:t>. For purposes of Section 11(b),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will be the grantee’s estate or legal heirs.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TAX WITHHOLDING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by Grantee</w:t>
      </w:r>
      <w:r>
        <w:rPr>
          <w:rFonts w:ascii="Times New Roman;serif" w:hAnsi="Times New Roman;serif"/>
          <w:b w:val="false"/>
          <w:color w:val="000000"/>
          <w:sz w:val="24"/>
        </w:rPr>
        <w:t>. Each grantee shall, no later than the date as of which the value of an Award or of any Stock or other amount received thereunder first becomes includable in the gross income of the grantee for income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in Stock</w:t>
      </w:r>
      <w:r>
        <w:rPr>
          <w:rFonts w:ascii="Times New Roman;serif" w:hAnsi="Times New Roman;serif"/>
          <w:b w:val="false"/>
          <w:color w:val="000000"/>
          <w:sz w:val="24"/>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38835"/>
                <wp:effectExtent l="0" t="0" r="0" b="0"/>
                <wp:wrapNone/>
                <wp:docPr id="106" name="Frame105"/>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SECTION 409A AWARDS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serif" w:hAnsi="Times New Roman;serif"/>
          <w:b w:val="false"/>
          <w:i/>
          <w:color w:val="000000"/>
          <w:sz w:val="24"/>
        </w:rPr>
        <w:t>409A Award</w:t>
      </w:r>
      <w:r>
        <w:rPr>
          <w:color w:val="000000"/>
        </w:rPr>
        <w:t>”</w:t>
      </w:r>
      <w:r>
        <w:rPr>
          <w:rFonts w:ascii="Times New Roman;serif" w:hAnsi="Times New Roman;serif"/>
          <w:b w:val="false"/>
          <w:color w:val="000000"/>
          <w:sz w:val="24"/>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TERMINATION OF SERVICE RELATIONSHIP, TRANSFER, LEAVE OF ABSENCE, ETC.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xml:space="preserve">. If the grantee’s Service Relationship is with an Affiliate and such Affiliate ceases to be an Affiliate, the grantee shall be deemed to have terminated such grantee’s Service Relationship for purposes of the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purposes of the Plan, the following events shall not be deemed a termination of a Service Relationship: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 transfer to the Service Relationship of the Company from an Affiliate or from the Company to an Affiliate, or from one Affiliate to another;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the transfer in status from employee to Consultant/Non-Employee Director or vice versa.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38835"/>
                <wp:effectExtent l="0" t="0" r="0" b="0"/>
                <wp:wrapNone/>
                <wp:docPr id="107" name="Frame106"/>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AMENDMENTS AND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the repricing of such Awards through cancellation and re-grants or cancellation of Stock Options or Stock Appreciation Rights in exchange for cash or other Awards. Nothing in this Section 15 shall limit the Administrator’s authority to take any action permitted pursuant to Section 3(b) or 3(c).</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STATUS OF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GENERAL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Distribution</w:t>
      </w:r>
      <w:r>
        <w:rPr>
          <w:rFonts w:ascii="Times New Roman;serif" w:hAnsi="Times New Roman;serif"/>
          <w:b w:val="false"/>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Issuance of Stock</w:t>
      </w:r>
      <w:r>
        <w:rPr>
          <w:rFonts w:ascii="Times New Roman;serif" w:hAnsi="Times New Roman;serif"/>
          <w:b w:val="false"/>
          <w:color w:val="000000"/>
          <w:sz w:val="24"/>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38835"/>
                <wp:effectExtent l="0" t="0" r="0" b="0"/>
                <wp:wrapNone/>
                <wp:docPr id="108" name="Frame107"/>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u w:val="single"/>
        </w:rPr>
        <w:t xml:space="preserve"> </w:t>
      </w:r>
      <w:r>
        <w:rPr>
          <w:rFonts w:ascii="Times New Roman;serif" w:hAnsi="Times New Roman;serif"/>
          <w:b w:val="false"/>
          <w:color w:val="000000"/>
          <w:sz w:val="24"/>
          <w:u w:val="single"/>
        </w:rPr>
        <w:t>No Fractional Shares</w:t>
      </w:r>
      <w:r>
        <w:rPr>
          <w:rFonts w:ascii="Times New Roman;serif" w:hAnsi="Times New Roman;serif"/>
          <w:b w:val="false"/>
          <w:color w:val="000000"/>
          <w:sz w:val="24"/>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Stockholder Rights</w:t>
      </w:r>
      <w:r>
        <w:rPr>
          <w:rFonts w:ascii="Times New Roman;serif" w:hAnsi="Times New Roman;serif"/>
          <w:b w:val="false"/>
          <w:color w:val="000000"/>
          <w:sz w:val="24"/>
        </w:rPr>
        <w:t>. Until Stock is deemed delivered in accordance with Section 17(b),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Other Compensation Arrangements; No Rights to Continued Service Relationship</w:t>
      </w:r>
      <w:r>
        <w:rPr>
          <w:rFonts w:ascii="Times New Roman;serif" w:hAnsi="Times New Roman;serif"/>
          <w:b w:val="false"/>
          <w:color w:val="000000"/>
          <w:sz w:val="24"/>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Trading Policy Restrictions</w:t>
      </w:r>
      <w:r>
        <w:rPr>
          <w:rFonts w:ascii="Times New Roman;serif" w:hAnsi="Times New Roman;serif"/>
          <w:b w:val="false"/>
          <w:color w:val="000000"/>
          <w:sz w:val="24"/>
        </w:rPr>
        <w:t>. Option and Stock Appreciation Right exercises and other Awards under the Plan are subject to the Company’s insider trading policies and procedures, as in effect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EFFECTIVE DATE OF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shall become effective upon approval by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GOVERNING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APPROVED BY BOARD OF DIRECTORS: January 28, 2026</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38835"/>
                <wp:effectExtent l="0" t="0" r="0" b="0"/>
                <wp:wrapNone/>
                <wp:docPr id="109" name="Frame108"/>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NON-QUALIFIED STOCK OPTION AGREEMENT</w:t>
        <w:br/>
        <w:t xml:space="preserve">UNDER THE BICARA THERAPEUTICS INC. </w: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2026 INDUCEMENT PLAN</w:t>
      </w:r>
    </w:p>
    <w:p>
      <w:pPr>
        <w:pStyle w:val="TextBody"/>
        <w:bidi w:val="0"/>
        <w:spacing w:lineRule="auto" w:line="288" w:before="0" w:after="240"/>
        <w:jc w:val="both"/>
        <w:rPr/>
      </w:pPr>
      <w:r>
        <w:rPr>
          <w:rFonts w:ascii="Times New Roman;serif" w:hAnsi="Times New Roman;serif"/>
          <w:b w:val="false"/>
          <w:color w:val="000000"/>
          <w:sz w:val="24"/>
        </w:rPr>
        <w:t>Name of Optionee: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No. of Option Shares:    </w:t>
      </w:r>
      <w:r>
        <w:rPr>
          <w:color w:val="000000"/>
          <w:u w:val="single"/>
        </w:rPr>
        <w:t xml:space="preserve">     </w:t>
      </w:r>
    </w:p>
    <w:p>
      <w:pPr>
        <w:pStyle w:val="TextBody"/>
        <w:bidi w:val="0"/>
        <w:spacing w:lineRule="auto" w:line="288" w:before="0" w:after="0"/>
        <w:jc w:val="both"/>
        <w:rPr/>
      </w:pPr>
      <w:r>
        <w:rPr>
          <w:rFonts w:ascii="Times New Roman;serif" w:hAnsi="Times New Roman;serif"/>
          <w:b w:val="false"/>
          <w:color w:val="000000"/>
          <w:sz w:val="24"/>
        </w:rPr>
        <w:t>Option Exercise Price per Share:    $</w:t>
      </w:r>
      <w:r>
        <w:rPr>
          <w:color w:val="000000"/>
          <w:u w:val="single"/>
        </w:rPr>
        <w:t>    </w:t>
      </w:r>
    </w:p>
    <w:p>
      <w:pPr>
        <w:pStyle w:val="TextBody"/>
        <w:bidi w:val="0"/>
        <w:spacing w:lineRule="auto" w:line="288" w:before="0" w:after="0"/>
        <w:jc w:val="both"/>
        <w:rPr/>
      </w:pPr>
      <w:r>
        <w:rPr>
          <w:color w:val="000000"/>
        </w:rPr>
        <w:t>    </w:t>
      </w:r>
      <w:r>
        <w:rPr>
          <w:rFonts w:ascii="Times New Roman;serif" w:hAnsi="Times New Roman;serif"/>
          <w:b/>
          <w:color w:val="000000"/>
          <w:sz w:val="24"/>
        </w:rPr>
        <w:t>[FMV on Grant Date]</w:t>
      </w:r>
    </w:p>
    <w:p>
      <w:pPr>
        <w:pStyle w:val="TextBody"/>
        <w:bidi w:val="0"/>
        <w:spacing w:lineRule="auto" w:line="288" w:before="240" w:after="240"/>
        <w:jc w:val="both"/>
        <w:rPr/>
      </w:pPr>
      <w:r>
        <w:rPr>
          <w:rFonts w:ascii="Times New Roman;serif" w:hAnsi="Times New Roman;serif"/>
          <w:b w:val="false"/>
          <w:color w:val="000000"/>
          <w:sz w:val="24"/>
        </w:rPr>
        <w:t>Grant Date: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Expiration Date:    </w:t>
      </w:r>
      <w:r>
        <w:rPr>
          <w:color w:val="000000"/>
          <w:u w:val="single"/>
        </w:rPr>
        <w:t xml:space="preserve">     </w:t>
      </w:r>
      <w:r>
        <w:rPr>
          <w:rFonts w:ascii="Times New Roman;serif" w:hAnsi="Times New Roman;serif"/>
          <w:b w:val="false"/>
          <w:color w:val="000000"/>
          <w:sz w:val="24"/>
          <w:u w:val="single"/>
        </w:rPr>
        <w:br/>
      </w:r>
      <w:r>
        <w:rPr>
          <w:color w:val="000000"/>
        </w:rPr>
        <w:t>    </w:t>
      </w:r>
      <w:r>
        <w:rPr>
          <w:rFonts w:ascii="Times New Roman;serif" w:hAnsi="Times New Roman;serif"/>
          <w:b/>
          <w:color w:val="000000"/>
          <w:sz w:val="24"/>
        </w:rPr>
        <w:t>[No more than 10 years]</w:t>
      </w:r>
    </w:p>
    <w:p>
      <w:pPr>
        <w:pStyle w:val="TextBody"/>
        <w:bidi w:val="0"/>
        <w:spacing w:lineRule="auto" w:line="288" w:before="480" w:after="240"/>
        <w:ind w:left="0" w:right="0" w:firstLine="720"/>
        <w:jc w:val="both"/>
        <w:rPr/>
      </w:pPr>
      <w:r>
        <w:rPr>
          <w:rFonts w:ascii="Times New Roman;serif" w:hAnsi="Times New Roman;serif"/>
          <w:b w:val="false"/>
          <w:color w:val="000000"/>
          <w:sz w:val="24"/>
        </w:rPr>
        <w:t>Pursuant to the Bicara Therapeutics Inc. 2025 Inducement Plan, as amended through the date hereof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Bicara Therapeutics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hereby grants to the Optionee named above an option (the “</w:t>
      </w:r>
      <w:r>
        <w:rPr>
          <w:rFonts w:ascii="Times New Roman;serif" w:hAnsi="Times New Roman;serif"/>
          <w:b w:val="false"/>
          <w:i/>
          <w:color w:val="000000"/>
          <w:sz w:val="24"/>
        </w:rPr>
        <w:t>Stock Option</w:t>
      </w:r>
      <w:r>
        <w:rPr>
          <w:color w:val="000000"/>
        </w:rPr>
        <w:t>”</w:t>
      </w:r>
      <w:r>
        <w:rPr>
          <w:rFonts w:ascii="Times New Roman;serif" w:hAnsi="Times New Roman;serif"/>
          <w:b w:val="false"/>
          <w:color w:val="000000"/>
          <w:sz w:val="24"/>
        </w:rPr>
        <w:t>) to purchase on or prior to the Expiration Date specified above all or part of the number of shares of the Company’s Common Stock, par value $0.0001 per share (the “</w:t>
      </w:r>
      <w:r>
        <w:rPr>
          <w:rFonts w:ascii="Times New Roman;serif" w:hAnsi="Times New Roman;serif"/>
          <w:b w:val="false"/>
          <w:i/>
          <w:color w:val="000000"/>
          <w:sz w:val="24"/>
        </w:rPr>
        <w:t>Shares</w:t>
      </w:r>
      <w:r>
        <w:rPr>
          <w:color w:val="000000"/>
        </w:rPr>
        <w:t>”</w:t>
      </w:r>
      <w:r>
        <w:rPr>
          <w:rFonts w:ascii="Times New Roman;serif" w:hAnsi="Times New Roman;serif"/>
          <w:b w:val="false"/>
          <w:color w:val="000000"/>
          <w:sz w:val="24"/>
        </w:rPr>
        <w:t>), specified above at the Option Exercise Price per Share specified above subject to the terms and conditions set forth herein and in the Plan. For the avoidance of doubt, this Stock Option is not issued under the Company’s 2024 Stock Option and Grant Plan, as amended from time to time, and does not reduce the share reserve under such equity plan. This Stock Option has been granted as an inducement pursuant to Rule 5635(c)(4) of the Marketplace Rules of The Nasdaq Stock Market LLC. This Stock Option is not intended to be an “incentive stock option” under Section 422 of the Internal Revenue Code of 1986,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20. </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w:t>
      </w:r>
    </w:p>
    <w:tbl>
      <w:tblPr>
        <w:tblW w:w="4575" w:type="dxa"/>
        <w:jc w:val="left"/>
        <w:tblInd w:w="0" w:type="dxa"/>
        <w:tblLayout w:type="fixed"/>
        <w:tblCellMar>
          <w:top w:w="28" w:type="dxa"/>
          <w:left w:w="28" w:type="dxa"/>
          <w:bottom w:w="28" w:type="dxa"/>
          <w:right w:w="28" w:type="dxa"/>
        </w:tblCellMar>
      </w:tblPr>
      <w:tblGrid>
        <w:gridCol w:w="951"/>
        <w:gridCol w:w="836"/>
        <w:gridCol w:w="838"/>
        <w:gridCol w:w="571"/>
        <w:gridCol w:w="571"/>
        <w:gridCol w:w="808"/>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 of</w:t>
            </w:r>
            <w:r>
              <w:rPr>
                <w:rFonts w:ascii="Times New Roman;serif" w:hAnsi="Times New Roman;serif"/>
                <w:b w:val="false"/>
                <w:color w:val="000000"/>
                <w:sz w:val="24"/>
                <w:u w:val="single"/>
              </w:rPr>
              <w:br/>
              <w:t>Option Shares Exercisable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38835"/>
                <wp:effectExtent l="0" t="0" r="0" b="0"/>
                <wp:wrapNone/>
                <wp:docPr id="110" name="Frame109"/>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Option Shares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to pay the purchase price by previously-owned Shares through the attestation method, the number of Shares transferred to the Optionee upon the exercise of the Stock Option shall be net of the Shares attested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38835"/>
                <wp:effectExtent l="0" t="0" r="0" b="0"/>
                <wp:wrapNone/>
                <wp:docPr id="111" name="Frame110"/>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the Optionee, and the Optionee’s name has been entered as the shareholder of record on the books of the Company. Thereupon, the Optionee shall have full voting, dividend and other ownership rights with respect to such Option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Optionee’s Service Relationship terminates, the period within which to exercise the Stock Option may be subject to earlier termination as set forth below.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Service Relationship is terminated by the Company or a Subsidiary for Cause, any portion of this Stock Option outstanding on such date shall terminate immediately and be of no further force and effect. For purposes hereof,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means, unless otherwise provided in an employment or other service agreement between the Company and the Optionee, a determination by the Administrator</w:t>
      </w:r>
      <w:r>
        <w:rPr>
          <w:color w:val="000000"/>
        </w:rPr>
        <w:t xml:space="preserve"> </w:t>
      </w:r>
      <w:r>
        <w:rPr>
          <w:rFonts w:ascii="Times New Roman;serif" w:hAnsi="Times New Roman;serif"/>
          <w:b w:val="false"/>
          <w:color w:val="000000"/>
          <w:sz w:val="24"/>
        </w:rPr>
        <w:t>that the Optionee’s employment will be terminated as a result of (i) the Optionee’s dishonest statements or acts with respect to the Company or any Affiliate, or any current or prospective customers, suppliers vendors or other third parties with which such entity does business; (ii) the Optionee’s commission of (A) a felony or (B) any misdemeanor involving moral turpitude, deceit, dishonesty or fraud; (iii) the Optionee’s failure to perform the Optionee’s assigned duties and responsibilities to the reasonable satisfaction of the Company which failure continues, in the reasonable judgment of the Company, after written notice given to the Optionee by the Company; (iv) the Optionee’s gross negligence, willful misconduct or insubordination with respect to the Company or any Affiliate; or (v) the Optionee’s material violation of any provision of any agreement(s) between the Optionee and the Company relating to noncompetition, nonsolicitation, nondisclosure and/or assignment of inventions.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38835"/>
                <wp:effectExtent l="0" t="0" r="0" b="0"/>
                <wp:wrapNone/>
                <wp:docPr id="112" name="Frame111"/>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Administrator’s determination of the reason for termination of the Optionee’s Service Relationship shall be conclusive and binding on the Optionee and the Optionee’s representatives or legatees.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Optionee shall, not later than the date as of which amounts with respect to this Stock Option become includable in the gross income of the Optionee for income tax purposes, pay to the Company or its Affiliates, or make arrangements satisfactory to the Administrator for payment of, any U.S. federal, state or local, and non-U.S. or other taxes of any kind required by law to be withheld by the Company or its Affiliates with respect to the Stock Option. The Administrator may require that the Company’s or Affiliate’s tax withholding obligation to be satisfied, in whole or in part, by (i) the Company withholding from Option Shares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in an amount that would satisfy the withholding amount due.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Neither the Company nor any Affiliate is obligated by or as a result of the Plan or this Agreement to continue the Optionee’s Service Relationship and neither the Plan nor this Agreement shall interfere in any way with the right of the Company or any Affiliate to terminate the Optionee’s Service Relationship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28. </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w:t>
      </w:r>
      <w:r>
        <w:rPr>
          <w:rFonts w:ascii="Times New Roman;serif" w:hAnsi="Times New Roman;serif"/>
          <w:b w:val="false"/>
          <w:i/>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val="false"/>
          <w:i/>
          <w:color w:val="000000"/>
          <w:sz w:val="24"/>
        </w:rPr>
        <w:t>Relevant Information</w:t>
      </w:r>
      <w:r>
        <w:rPr>
          <w:color w:val="000000"/>
        </w:rPr>
        <w:t>”</w:t>
      </w:r>
      <w:r>
        <w:rPr>
          <w:rFonts w:ascii="Times New Roman;serif" w:hAnsi="Times New Roman;serif"/>
          <w:b w:val="false"/>
          <w:color w:val="000000"/>
          <w:sz w:val="24"/>
        </w:rPr>
        <w:t xml:space="preserve">).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38835"/>
                <wp:effectExtent l="0" t="0" r="0" b="0"/>
                <wp:wrapNone/>
                <wp:docPr id="113" name="Frame112"/>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right to change, the Relevant Information. Relevant Information will only be used in accordance with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29.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SECTION 30. </w:t>
      </w:r>
      <w:r>
        <w:rPr>
          <w:rFonts w:ascii="Times New Roman;serif" w:hAnsi="Times New Roman;serif"/>
          <w:b w:val="false"/>
          <w:color w:val="000000"/>
          <w:sz w:val="24"/>
          <w:u w:val="single"/>
        </w:rPr>
        <w:t>Clawback</w:t>
      </w:r>
      <w:r>
        <w:rPr>
          <w:rFonts w:ascii="Times New Roman;serif" w:hAnsi="Times New Roman;serif"/>
          <w:b w:val="false"/>
          <w:color w:val="000000"/>
          <w:sz w:val="24"/>
        </w:rPr>
        <w:t>. The Optionee acknowledges and agrees that this Award is subject in all respects to the Company’s Compensation Recovery Policy (the “</w:t>
      </w:r>
      <w:r>
        <w:rPr>
          <w:rFonts w:ascii="Times New Roman;serif" w:hAnsi="Times New Roman;serif"/>
          <w:b w:val="false"/>
          <w:i/>
          <w:color w:val="000000"/>
          <w:sz w:val="24"/>
        </w:rPr>
        <w:t>Clawback Policy</w:t>
      </w:r>
      <w:r>
        <w:rPr>
          <w:color w:val="000000"/>
        </w:rPr>
        <w:t>”</w:t>
      </w:r>
      <w:r>
        <w:rPr>
          <w:rFonts w:ascii="Times New Roman;serif" w:hAnsi="Times New Roman;serif"/>
          <w:b w:val="false"/>
          <w:color w:val="000000"/>
          <w:sz w:val="24"/>
        </w:rPr>
        <w:t>), to the extent applicable. Any action by the Company to recover Erroneously Awarded Compensation (as defined in the Clawback Policy) under the Clawback Policy from the Optionee shall not be deemed (i) an event giving rise to a right to resign for “good reason” under any benefits or compensation arrangement applicable to the Optionee,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BICARA THERAPEUTICS INC.</w:t>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480"/>
        <w:jc w:val="both"/>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lineRule="auto" w:line="288" w:before="0" w:after="0"/>
        <w:jc w:val="both"/>
        <w:rPr/>
      </w:pPr>
      <w:r>
        <w:rPr>
          <w:rFonts w:ascii="Times New Roman;serif" w:hAnsi="Times New Roman;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Optionee’s Signature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Optionee’s name and address:</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0"/>
        <w:jc w:val="left"/>
        <w:rPr>
          <w:color w:val="000000"/>
          <w:u w:val="single"/>
        </w:rPr>
      </w:pP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38835"/>
                <wp:effectExtent l="0" t="0" r="0" b="0"/>
                <wp:wrapNone/>
                <wp:docPr id="114" name="Frame11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8"/>
        </w:rPr>
      </w:pPr>
      <w:r>
        <w:rPr>
          <w:rFonts w:ascii="Times New Roman;serif" w:hAnsi="Times New Roman;serif"/>
          <w:b/>
          <w:color w:val="000000"/>
          <w:sz w:val="28"/>
        </w:rPr>
        <w:t>RESTRICTED STOCK UNIT AWARD AGREEMENT</w:t>
        <w:br/>
        <w:t>UNDER THE BICARA THERAPEUTICS INC.</w:t>
        <w:br/>
        <w:t>2026 INDUCEMENT PLAN</w:t>
      </w:r>
    </w:p>
    <w:p>
      <w:pPr>
        <w:pStyle w:val="TextBody"/>
        <w:bidi w:val="0"/>
        <w:spacing w:lineRule="auto" w:line="288" w:before="0" w:after="240"/>
        <w:jc w:val="both"/>
        <w:rPr/>
      </w:pPr>
      <w:r>
        <w:rPr>
          <w:rFonts w:ascii="Times New Roman;serif" w:hAnsi="Times New Roman;serif"/>
          <w:b w:val="false"/>
          <w:color w:val="000000"/>
          <w:sz w:val="24"/>
        </w:rPr>
        <w:t>Name of Grantee: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No. of Restricted Stock Units: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Grant Date:    </w:t>
      </w:r>
      <w:r>
        <w:rPr>
          <w:color w:val="000000"/>
          <w:u w:val="single"/>
        </w:rPr>
        <w:t>    </w:t>
      </w:r>
    </w:p>
    <w:p>
      <w:pPr>
        <w:pStyle w:val="TextBody"/>
        <w:bidi w:val="0"/>
        <w:spacing w:lineRule="auto" w:line="288" w:before="480" w:after="240"/>
        <w:ind w:left="0" w:right="0" w:firstLine="720"/>
        <w:jc w:val="both"/>
        <w:rPr/>
      </w:pPr>
      <w:r>
        <w:rPr>
          <w:rFonts w:ascii="Times New Roman;serif" w:hAnsi="Times New Roman;serif"/>
          <w:b w:val="false"/>
          <w:color w:val="000000"/>
          <w:sz w:val="24"/>
        </w:rPr>
        <w:t>Pursuant to the Bicara Therapeutics Inc. 2026 Inducement Plan, as amended through the date hereof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Bicara Therapeutics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hereby grants an award of the number of Restricted Stock Units listed above (an “</w:t>
      </w:r>
      <w:r>
        <w:rPr>
          <w:rFonts w:ascii="Times New Roman;serif" w:hAnsi="Times New Roman;serif"/>
          <w:b w:val="false"/>
          <w:i/>
          <w:color w:val="000000"/>
          <w:sz w:val="24"/>
        </w:rPr>
        <w:t>Award</w:t>
      </w:r>
      <w:r>
        <w:rPr>
          <w:color w:val="000000"/>
        </w:rPr>
        <w:t>”</w:t>
      </w:r>
      <w:r>
        <w:rPr>
          <w:rFonts w:ascii="Times New Roman;serif" w:hAnsi="Times New Roman;serif"/>
          <w:b w:val="false"/>
          <w:color w:val="000000"/>
          <w:sz w:val="24"/>
        </w:rPr>
        <w:t>) to the Grantee named above. Each Restricted Stock Unit relates to one share of Common Stock, par value $0.0001 per share (the “</w:t>
      </w:r>
      <w:r>
        <w:rPr>
          <w:rFonts w:ascii="Times New Roman;serif" w:hAnsi="Times New Roman;serif"/>
          <w:b w:val="false"/>
          <w:i/>
          <w:color w:val="000000"/>
          <w:sz w:val="24"/>
        </w:rPr>
        <w:t>Shares</w:t>
      </w:r>
      <w:r>
        <w:rPr>
          <w:color w:val="000000"/>
        </w:rPr>
        <w:t>”</w:t>
      </w:r>
      <w:r>
        <w:rPr>
          <w:rFonts w:ascii="Times New Roman;serif" w:hAnsi="Times New Roman;serif"/>
          <w:b w:val="false"/>
          <w:color w:val="000000"/>
          <w:sz w:val="24"/>
        </w:rPr>
        <w:t>), of the Company. For the avoidance of doubt, this Award is not issued under the Company’s 2024 Stock Option and Grant Plan, as amended from time to time, and does not reduce the share reserve under such equity plan. This Award has been granted as an inducement pursuant to Rule 5635(c)(4) of the Marketplace Rules of The Nasdaq Stock Market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on the vesting dates (each such date, a “</w:t>
      </w:r>
      <w:r>
        <w:rPr>
          <w:rFonts w:ascii="Times New Roman;serif" w:hAnsi="Times New Roman;serif"/>
          <w:b w:val="false"/>
          <w:i/>
          <w:color w:val="000000"/>
          <w:sz w:val="24"/>
        </w:rPr>
        <w:t>Vesting Date</w:t>
      </w:r>
      <w:r>
        <w:rPr>
          <w:color w:val="000000"/>
        </w:rPr>
        <w:t>”</w:t>
      </w:r>
      <w:r>
        <w:rPr>
          <w:rFonts w:ascii="Times New Roman;serif" w:hAnsi="Times New Roman;serif"/>
          <w:b w:val="false"/>
          <w:color w:val="000000"/>
          <w:sz w:val="24"/>
        </w:rPr>
        <w:t>) specified in the following schedule so long as the Grantee remains in a Service Relationship through the applicable Vesting Date. If a series of Vesting Dates is specified, then the restrictions and conditions in Paragraph 1 shall lapse only with respect to the number of Restricted Stock Units specified as vested on such Vesting Date.</w:t>
      </w:r>
    </w:p>
    <w:tbl>
      <w:tblPr>
        <w:tblW w:w="4544" w:type="dxa"/>
        <w:jc w:val="left"/>
        <w:tblInd w:w="0" w:type="dxa"/>
        <w:tblLayout w:type="fixed"/>
        <w:tblCellMar>
          <w:top w:w="28" w:type="dxa"/>
          <w:left w:w="28" w:type="dxa"/>
          <w:bottom w:w="28" w:type="dxa"/>
          <w:right w:w="28" w:type="dxa"/>
        </w:tblCellMar>
      </w:tblPr>
      <w:tblGrid>
        <w:gridCol w:w="1070"/>
        <w:gridCol w:w="941"/>
        <w:gridCol w:w="943"/>
        <w:gridCol w:w="465"/>
        <w:gridCol w:w="465"/>
        <w:gridCol w:w="660"/>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 of</w:t>
              <w:br/>
            </w:r>
            <w:r>
              <w:rPr>
                <w:rFonts w:ascii="Times New Roman;serif" w:hAnsi="Times New Roman;serif"/>
                <w:b w:val="false"/>
                <w:color w:val="000000"/>
                <w:sz w:val="24"/>
                <w:u w:val="single"/>
              </w:rPr>
              <w:t>Restricted Stock Units Vested</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 (___%)</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38835"/>
                <wp:effectExtent l="0" t="0" r="0" b="0"/>
                <wp:wrapNone/>
                <wp:docPr id="115" name="Frame114"/>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Administrator may at any time accelerate the vesting schedule specified in this Paragraph 2.</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Unless otherwise determined by the Administrator, if the Grantee’s Service Relationship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w:t>
      </w:r>
      <w:r>
        <w:rPr>
          <w:rFonts w:ascii="Times New Roman;serif" w:hAnsi="Times New Roman;serif"/>
          <w:b w:val="false"/>
          <w:color w:val="000000"/>
          <w:sz w:val="24"/>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Vesting Date and the Grantee shall thereafter have all the rights of a shareholder of the Company with respect to such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Grantee shall, not later than the date as of which of this Award becomes includable in the gross income of the Grantee for income tax purposes, pay to the Company or its Affiliates,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subject to the Award are immediately sold and proceeds from such sale are remitted to the Company in an amount that would satisfy the withholding amount due. </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Obligation to Continue Service Relationship</w:t>
      </w:r>
      <w:r>
        <w:rPr>
          <w:rFonts w:ascii="Times New Roman;serif" w:hAnsi="Times New Roman;serif"/>
          <w:b w:val="false"/>
          <w:color w:val="000000"/>
          <w:sz w:val="24"/>
        </w:rPr>
        <w:t xml:space="preserve">. Neither the Company nor any Affiliate is obligated by or as a result of the Plan or this Agreement to continue the Grantee’s Service Relationship and neither the Plan nor this Agreement shall interfere in any way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38835"/>
                <wp:effectExtent l="0" t="0" r="0" b="0"/>
                <wp:wrapNone/>
                <wp:docPr id="116" name="Frame115"/>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 of the Company or any Affiliate to terminate the Grantee’s Service Relationship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its subsidiaries and affiliates and certain agents thereof (together, the “</w:t>
      </w:r>
      <w:r>
        <w:rPr>
          <w:rFonts w:ascii="Times New Roman;serif" w:hAnsi="Times New Roman;serif"/>
          <w:b w:val="false"/>
          <w:i/>
          <w:color w:val="000000"/>
          <w:sz w:val="24"/>
        </w:rPr>
        <w:t>Relevant Companies</w:t>
      </w:r>
      <w:r>
        <w:rPr>
          <w:color w:val="000000"/>
        </w:rPr>
        <w:t>”</w:t>
      </w:r>
      <w:r>
        <w:rPr>
          <w:rFonts w:ascii="Times New Roman;serif" w:hAnsi="Times New Roman;serif"/>
          <w:b w:val="false"/>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val="false"/>
          <w:i/>
          <w:color w:val="000000"/>
          <w:sz w:val="24"/>
        </w:rPr>
        <w:t>Relevant Information</w:t>
      </w:r>
      <w:r>
        <w:rPr>
          <w:color w:val="000000"/>
        </w:rPr>
        <w:t>”</w:t>
      </w:r>
      <w:r>
        <w:rPr>
          <w:rFonts w:ascii="Times New Roman;serif" w:hAnsi="Times New Roman;serif"/>
          <w:b w:val="false"/>
          <w:color w:val="000000"/>
          <w:sz w:val="24"/>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Clawback</w:t>
      </w:r>
      <w:r>
        <w:rPr>
          <w:rFonts w:ascii="Times New Roman;serif" w:hAnsi="Times New Roman;serif"/>
          <w:b w:val="false"/>
          <w:color w:val="000000"/>
          <w:sz w:val="24"/>
        </w:rPr>
        <w:t>. The Grantee acknowledges and agrees that this Award is subject in all respects to the Company’s Compensation Recovery Policy (the “</w:t>
      </w:r>
      <w:r>
        <w:rPr>
          <w:rFonts w:ascii="Times New Roman;serif" w:hAnsi="Times New Roman;serif"/>
          <w:b w:val="false"/>
          <w:i/>
          <w:color w:val="000000"/>
          <w:sz w:val="24"/>
        </w:rPr>
        <w:t>Clawback Policy</w:t>
      </w:r>
      <w:r>
        <w:rPr>
          <w:color w:val="000000"/>
        </w:rPr>
        <w:t>”</w:t>
      </w:r>
      <w:r>
        <w:rPr>
          <w:rFonts w:ascii="Times New Roman;serif" w:hAnsi="Times New Roman;serif"/>
          <w:b w:val="false"/>
          <w:color w:val="000000"/>
          <w:sz w:val="24"/>
        </w:rPr>
        <w:t xml:space="preserve">), to the extent applicable. Any action by the Company to recover Erroneously Awarded Compensation (as defined in the Clawback Policy) under the Clawback Policy from the Grantee shall not be deemed (i) an event giving rise to a right to resign for “good reason” under any benefits or compensation arrangement applicable to the Grantee, or serve as a basis for a claim of constructive termination under any benefits or compensation arrangement applicable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38835"/>
                <wp:effectExtent l="0" t="0" r="0" b="0"/>
                <wp:wrapNone/>
                <wp:docPr id="117" name="Frame116"/>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Grantee or (ii) to constitute a breach of a contract or other arrangement to which the Grantee is a party. This Section 12 is a material term of this Agreement.</w: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BICARA THERAPEUTICS INC.</w:t>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480"/>
        <w:jc w:val="both"/>
        <w:rPr>
          <w:color w:val="000000"/>
        </w:rPr>
      </w:pPr>
      <w:r>
        <w:rPr>
          <w:color w:val="000000"/>
        </w:rPr>
        <w:t>    </w:t>
      </w:r>
      <w:r>
        <w:rPr>
          <w:rFonts w:ascii="Times New Roman;serif" w:hAnsi="Times New Roman;serif"/>
          <w:b w:val="false"/>
          <w:color w:val="000000"/>
          <w:sz w:val="24"/>
        </w:rPr>
        <w:t>Title:</w: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both"/>
        <w:rPr/>
      </w:pPr>
      <w:r>
        <w:rPr>
          <w:rFonts w:ascii="Times New Roman;serif" w:hAnsi="Times New Roman;serif"/>
          <w:b w:val="false"/>
          <w:color w:val="000000"/>
          <w:sz w:val="24"/>
        </w:rPr>
        <w:t>Dated:    </w:t>
      </w:r>
      <w:r>
        <w:rPr>
          <w:color w:val="000000"/>
          <w:u w:val="single"/>
        </w:rPr>
        <w:t>    </w:t>
      </w:r>
      <w:r>
        <w:rPr>
          <w:color w:val="000000"/>
        </w:rPr>
        <w:t>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color w:val="000000"/>
          <w:u w:val="single"/>
        </w:rPr>
      </w:pPr>
      <w:r>
        <w:rPr>
          <w:color w:val="000000"/>
          <w:u w:val="single"/>
        </w:rPr>
        <w:t>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838835"/>
                <wp:effectExtent l="0" t="0" r="0" b="0"/>
                <wp:wrapNone/>
                <wp:docPr id="118" name="Frame117"/>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lineRule="auto" w:line="268" w:before="0" w:after="0"/>
        <w:jc w:val="center"/>
        <w:rPr/>
      </w:pPr>
      <w:r>
        <w:rPr>
          <w:rFonts w:ascii="Times New Roman;serif" w:hAnsi="Times New Roman;serif"/>
          <w:b/>
          <w:color w:val="000000"/>
          <w:sz w:val="20"/>
        </w:rPr>
        <w:t>TO THE</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BICARA THERAPEUTICS INC. </w:t>
      </w:r>
    </w:p>
    <w:p>
      <w:pPr>
        <w:pStyle w:val="TextBody"/>
        <w:bidi w:val="0"/>
        <w:spacing w:lineRule="auto" w:line="268" w:before="0" w:after="0"/>
        <w:jc w:val="center"/>
        <w:rPr/>
      </w:pPr>
      <w:r>
        <w:rPr>
          <w:rFonts w:ascii="Times New Roman;serif" w:hAnsi="Times New Roman;serif"/>
          <w:b/>
          <w:color w:val="000000"/>
          <w:sz w:val="20"/>
        </w:rPr>
        <w:t>2026 INDUCEMENT PLAN</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Bicara Therapeutics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maintains the Bicara Therapeutics Inc. 2026 Inducement Plan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which was previously adopted by the Board of Directors of the Company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xml:space="preserve">, the Board believes that the number of shares of Stock (as defined in the Plan) remaining available for issuance under the Plan has become insufficient for the Company’s anticipated future needs under the Plan;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xml:space="preserve">, the Board has determined that it is advisable and in the best interest of the Company and its stockholders to amend the Plan to increase the aggregate number of shares of Stock reserved for issuance under the Plan by 700,000 shares; and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WHEREAS</w:t>
      </w:r>
      <w:r>
        <w:rPr>
          <w:rFonts w:ascii="Times New Roman;serif" w:hAnsi="Times New Roman;serif"/>
          <w:b w:val="false"/>
          <w:color w:val="000000"/>
          <w:sz w:val="20"/>
        </w:rPr>
        <w:t xml:space="preserve">, Section 15 of the Plan provides that the Board may amend the Plan at any time, subject to certain conditions set forth therein.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NOW, THEREFORE</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u w:val="single"/>
        </w:rPr>
        <w:t>Increase in Share Pool</w:t>
      </w:r>
      <w:r>
        <w:rPr>
          <w:rFonts w:ascii="Times New Roman;serif" w:hAnsi="Times New Roman;serif"/>
          <w:b w:val="false"/>
          <w:color w:val="000000"/>
          <w:sz w:val="20"/>
        </w:rPr>
        <w:t xml:space="preserve">. Section 3(a) of the Plan is hereby deleted in its entirety and replaced with the following: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color w:val="000000"/>
          <w:sz w:val="20"/>
          <w:u w:val="single"/>
        </w:rPr>
        <w:t>Stock Issuable.</w:t>
      </w:r>
      <w:r>
        <w:rPr>
          <w:color w:val="000000"/>
        </w:rPr>
        <w:t xml:space="preserve"> </w:t>
      </w:r>
      <w:r>
        <w:rPr>
          <w:rFonts w:ascii="Times New Roman;serif" w:hAnsi="Times New Roman;serif"/>
          <w:b w:val="false"/>
          <w:color w:val="000000"/>
          <w:sz w:val="20"/>
        </w:rPr>
        <w:t xml:space="preserve">The maximum number of shares of Stock reserved and available for issuance under the Plan shall be 1,700,000 shares, in all cases subject to adjustment as provided in this Section 3(b). For purposes of these limitations,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u w:val="single"/>
        </w:rPr>
        <w:t>Effective Date of Amendment</w:t>
      </w:r>
      <w:r>
        <w:rPr>
          <w:rFonts w:ascii="Times New Roman;serif" w:hAnsi="Times New Roman;serif"/>
          <w:b w:val="false"/>
          <w:color w:val="000000"/>
          <w:sz w:val="20"/>
        </w:rPr>
        <w:t xml:space="preserve">. This Amendment to the Plan shall become effective upon the date that it is approved by the Board.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u w:val="single"/>
        </w:rPr>
        <w:t>Other Provisions</w:t>
      </w:r>
      <w:r>
        <w:rPr>
          <w:rFonts w:ascii="Times New Roman;serif" w:hAnsi="Times New Roman;serif"/>
          <w:b w:val="false"/>
          <w:color w:val="000000"/>
          <w:sz w:val="20"/>
        </w:rPr>
        <w:t xml:space="preserve">. Except as set forth above, all other provisions of the Plan shall remain unchanged.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APPROVED BY BOARD OF DIRECTORS: June 9, 2026 </w:t>
      </w:r>
    </w:p>
    <w:p>
      <w:pPr>
        <w:pStyle w:val="TextBody"/>
        <w:bidi w:val="0"/>
        <w:spacing w:before="0" w:after="0"/>
        <w:jc w:val="center"/>
        <w:rPr/>
      </w:pPr>
      <w:bookmarkStart w:id="1" w:name="bicara-q210xqexxdr_separ.htm"/>
      <w:bookmarkStart w:id="2" w:name="ksbicaraq210xqexxdr_separ"/>
      <w:bookmarkEnd w:id="1"/>
      <w:bookmarkEnd w:id="2"/>
      <w:r>
        <w:rPr/>
        <w:drawing>
          <wp:inline distT="0" distB="0" distL="0" distR="0">
            <wp:extent cx="10048875" cy="13001625"/>
            <wp:effectExtent l="0" t="0" r="0" b="0"/>
            <wp:docPr id="1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38835"/>
                <wp:effectExtent l="0" t="0" r="0" b="0"/>
                <wp:wrapNone/>
                <wp:docPr id="120" name="Frame118"/>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bicara.com 116 Huntington Ave. Ste. 703 info@bicara.com Boston, MA 02116 May 7, 2026 By E-Mail David Raben 5558 S. Hillside Street Greenwood, CO 80111 Dear David: This letter confirms your separation from employment and proposes an agreement between Bicara Therapeutics Inc., its existing or future parents, subsidiaries, or affiliated corporations or entities and any division of any of them, as well as any of their successors or assigns (collectively the “Company”) and you. The Company and you are collectively referred to as the “Parties.” Your employment with the Company shall end effective May 7, 2026 (the “Separation Date”). As of the Separation Date, you will not be authorized to enter into any agreements or otherwise perform any work on behalf of the Company except as specifically requested and authorized by the Company. Specifically, during this period of time, the Company reserves the right to utilize your services to assist in the transition of your responsibilities on an as-needed basis to be determined within the Company’s sole discretion. The Company shall pay you for all time worked through the Separation Date, regardless of whether you enter into the agreement proposed below. To the extent you receive medical, dental and/or vision insurance coverage as of the Separation Date, you shall continue to receive those benefits through the last day of the month in which the Separation Date falls. To continue your coverage beyond that date, you must elect COBRA continuation coverage. Such COBRA continuation coverage will be at your own expense, unless otherwise provided herein. Your rights and obligations under COBRA are explained in a separate letter to you. Your eligibility to participate in any other employee benefit plans and programs of the Company ceases on or after the end of your employment in accordance with applicable benefit plan or program terms and practices. You are expected to return all Company property in your possession, if any, to Pauline Dufresne, the Company’s Chief People Officer. Additionally, please note that to the extent you signed an Invention Assignment, Non-Disclosure, and Business Protection Agreement and/or another similar agreement at the time of your hire or during the course of your employment with the Company, such agreements remain in effect, and you remain bound by the post-termination restrictions contained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The remainder of this letter proposes an agreement (the “Agreement”) between you and the Company. In order to accept this Agreement, and receive the severance benefits described below, you are required to sign and not revoke, the Agreement within the time period provided for below. With those understandings, you and the Company agree as follows: 1. Severance Benefits (a) Severance Pay. In consideration of the terms and conditions set forth in this Agreement, the Company will pay you severance pay (“Severance Pay”) consisting of salary continuation of twelve (12) months of salary based on your final base pay rate of $530,000 per year, less tax- related deductions and withholdings. For the avoidance of doubt, the Severance Pay shall not be subject to mitigation, offset, or reduction on account of, and shall not be affected by, any compensation, benefits, or other amounts you may earn or receive from any subsequent employment, consulting, or self-employment, and you shall have no obligation to seek or accept other employment in order to receive the Severance Pay. The Company shall pay you Severance Pay on its regular payroll dates applicable to your position with the Company, provided that the Company is not obligated to make any such severance payments to you before the Effective Date. If the Company does not make one or more payments of Severance Pay on a regular payroll date because this Agreement has not yet become effective, the Company shall make all such payments by the first regular payroll date occurring at least five (5) business days after the Effective Date but no later than within 60 days after the Separation Date. You acknowledge that the Severance Pay described in this Paragraph is compensation to which you would not otherwise be entitled, except under the terms of this Agreement. The Company shall undertake to make deductions, withholdings, and tax reports with respect to the Severance Pay to the extent that it reasonably and in good faith determines that it is legally required to make such deductions, withholdings, and tax reports. Payment under this Agreement shall be in amounts net of any such deductions and withholdings. (b) Health Benefits. To the extent you receive medical, dental and/or vision insurance coverage as of the Separation Date, your rights and obligations under COBRA are explained in a separate letter to you describing your medical, dental and/or vision insurance continuation rights under COBRA. To continue your medical, dental and/or vision insurance coverage, you must elect COBRA continuation coverage. If you elect COBRA continuation coverage and provided that you and, where applicable, your beneficiaries remain eligible for COBRA continuation coverage, the Company shall continue to pay for medical, dental and/or vision insurance premiums for coverage of you and, where applicable, your COBRA-eligible beneficiaries to the same extent as if you had remained employed during the COBRA Premium Period. You will be responsible for the remaining portion of such coverage as if you remained employed. For purposes of this Agreement, the COBRA Premium Period shall be the period starting on the Separation Date and ending on the earliest to occur of: (i) May 30, 2027; (ii) the date you become eligible for group health insurance coverage through a new employer; or (iii) the date you cease to be eligible for COBRA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continuation coverage for any reason, including plan termination. In the event you become covered under another employer’s group health plan or otherwise cease to be eligible for COBRA during the COBRA Premium Period, you must immediately notify the Company in writing of such event. You hereby authorize the deduction of the portion for which you are responsible from your Severance Pay. If you elect COBRA continuation coverage, you may continue coverage for yourself and any beneficiaries after the end of the COBRA Premium Period at your own expense for the remainder of the COBRA period, to the extent you, and they, remain eligible. (c) No Other Pay or Benefits; Sufficiency of Consideration. Except as specifically set forth in this Agreement, you acknowledge that you are not entitled to any other wages, salary, vacation pay or paid time off pay, sick leave pay, bonuses, incentive awards, commissions, benefits, stock, restricted stock units, stock options, or any other compensation of any kind (including but not limited to that set forth in your Amended and Restated Employment Agreement with an Effective Date of September 16, 2024), except as required by law. For the avoidance of doubt, nothing in this Paragraph 1(c) or elsewhere in this Agreement shall limit, impair, or release any right of yours to (i) indemnification, advancement of expenses, or contribution under the Company’s certificate of incorporation, bylaws, any separate indemnification agreement between you and the Company, or applicable corporate law; or (ii) any rights expressly preserved under this Agreement. You further acknowledge that the Severance Pay described above is in excess of any earned wages and any other amounts due and owing to you and is good and valuable consideration for the general release of claims and the other covenants and terms in this Agreement. (d) Equity. Your rights and obligations with respect to any options or other equity incentive, including but not limited to vesting and forfeiture, remain subject to the terms and conditions of the applicable award, equity incentive plan(s) of the Company and the applicable award agreement(s). For the avoidance of doubt, Executive’s transition from employee to independent contractor shall not be deemed a termination of service for purposes of the vesting of the equity awards described above, and such awards shall continue to be governed by the terms and conditions of the applicable equity plan and award agreements. (e) Expense Reimbursement. In addition, you agree that as soon as practicable, but in no event later than ten (10) business days from the Separation Date, you must submit your final expense reimbursement statement reflecting all business expenses you incurred through the Separation Date, if any, for which you seek reimbursement, and, in accordance with Company policy, reasonable substantiation and documentation for the same. The Company will reimburse you for your authorized and documented expenses pursuant to Company policy. 2. Tax Treatment The Company shall undertake to make deductions, withholdings and tax reports with respect to payments and benefits under this Agreement to the extent that it reasonably and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determines that it is required to make such deductions, withholdings and tax reports. Nothing in this Agreement shall be construed to require the Company to make any payments to compensate you for any adverse tax effect associated with any payments or benefits or for any deduction or withholding from any payment or benefit. You are and shall be solely responsible for your share of any federal, state and local taxes that may be owed by you by virtue of the receipt of any portion of the monetary payment provided under this Agreement, other than any employer-side taxes, withholding obligations, or reporting obligations of the Company. You agree to indemnify and hold the Company harmless from any and all liability, including, without limitation, all penalties, interest and other costs that may be imposed by the Internal Revenue Service or other governmental agencies regarding any tax obligations that may arise from the monetary consideration made to you under this Agreement; provided however, that notwithstanding the foregoing, you shall not be responsible for, and shall have no obligation to indemnify the Company in respect of, any taxes, penalties, interest, or other amounts arising out of the Company’s failure to timely or correctly withhold, deposit, or report taxes as required by applicable law, or arising out of the Company’s structuring of any payment under this Agreement in a manner that fails to comply with, or qualify for an exemption from, Section 409A of the Internal Revenue Code. 3. Non-Contesting of Unemployment Benefits You are free to seek unemployment benefits. To the extent allowed by law, the Company shall not contest any claim by you for unemployment insurance benefits. The Company will provide information to the state unemployment agency to the extent it is legally required to do so, and the information that will be provided will be truthful. You understand, however, that your entitlement to unemployment insurance benefits shall be determined solely by the state unemployment agency and that the Company cannot guarantee that you will receive such benefits. Nothing in this Agreement shall be understood to require the Company to make any false statement to any governmental agency. 4. General Release of Claims Upon execution and effectuation of this Agreement, you hereby release and forever discharge Bicara Therapeutics Inc., and each of its divisions, affiliates, subsidiaries, operating companies, parent companies, and the respective officers, directors, employees, supervisors, managers, insurers, reinsurers, predecessors, successors, assigns, attorneys, agents, representatives, affiliates, and anyone or thing acting on the behalf of each of them (collectively, the “Released Parties”) from any and all causes of action, lawsuits, proceedings, complaints, charges, debts, contracts, judgments, damages, claims, and attorneys’ fees against the Released Parties, whether known or unknown, which you ever had, now have or which you or your heirs, executors, administrators, successors or assigns may have had prior to the date this Agreement is signed by you, including, without limitation, those due to any matter whatsoever relating to your employment, compensation, benefits, and/or termination of your employment with the Company or any of the Released Parties (collectively, the “Released Claims”). The Released Claims include, but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limited to, any claim that any of the Released Parties violated: Title VII of the Civil Rights Act of 1964 (42 U.S.C. §§ 2000e, et seq.), the Americans with Disabilities Act (42 U.S.C. §§ 12101, et seq.), the Age Discrimination in Employment Act (including, without limitation, the Older Workers’ Benefit Protection Act (“OWBPA”)) (29 U.S.C. §§ 623, et seq.) (the “ADEA”), the Immigration Reform Control Act of 1986 (8 U.S.C. §§ 1101 et seq.), Section 503 of the Rehabilitation Act of 1973 (29 U.S.C. §§ 701, et seq.), the Civil Rights Act of 1966 (42 U.S.C. § 1981), the Consolidated Omnibus Budget Reconciliation Act of 1985 (42 U.S.C. § 1395(c)), the Employee Retirement Income Security Act (29 U.S.C. §§ 1132 (a)(1)(B), et seq.), the federal Workers Adjustment and Retraining Notification Act (29 U.S.C. §§ 2101 et seq.), Sarbanes-Oxley Act of 2002 (Public Law 107-204, including whistleblowing claims under 18 U.S.C. §§ 1514A and 1513(e)), the Family and Medical Leave Act (29 U.S.C. §§ 2601 et seq.), the Fair Labor Standards Act (29 U.S.C. §§ 201 et seq.), the Fair Credit Reporting Act (15 U.S.C. §§ 1681 et seq.), the Massachusetts Fair Employment Practices Act (M.G.L. 151B, §§ 1 et seq.), the Massachusetts Civil Rights Act (M.G.L. c. 12 §§ 11H and 11I), the Massachusetts Equal Rights Act (M.G.L. c. 93, § 102 and M.G.L. c. 214, § 1C), the Massachusetts Labor and Industries Act (M.G.L. c. 149, § 1 et seq.), the Massachusetts Equal Pay Act (M.G.L. c. 149, § 105A), the Massachusetts Wage Act (M.G.L. c. 149 §§ 148 et seq.), the Massachusetts Fair Wages Statute (M.G.L. c. 151 §§ 1 et seq.), the Massachusetts Independent Contractor Statute (M.G.L. c. 149 § 148B), the Massachusetts State Overtime Laws (M.G.L. c. 151 §§ 1A et seq.), the Massachusetts Pay Transparency Act (M.G.L. c. 149, §§ 105E-105F), the Massachusetts Earned Sick Time Law (M.G.L. c. 149 § 148C), the Massachusetts Privacy Act (M.G.L. c. 214, §1B), the Massachusetts Small Necessities Leave Act, M.G.L. c. 149, § 52D, the Massachusetts Parental Leave Act (M.G.L. c. 149, § 105D), the Massachusetts Paid Family and Medical Leave law (M.G.L. c. 148, §175M), the Colorado Anti-Discrimination Act (Colo. Rev. Stat. Ann. §§ 24-34-401 to 24-34-406), the Colorado Workplace Accommodations for Nursing Mothers Act (Colo. Rev. Stat. Ann. §§ 8-13.5- 101 to 8-13.5-104), the Colorado Pregnant Workers Fairness Act (Colo. Rev. Stat. § 24-34-402.3), the Colorado Lawful Off-Duty Activities Statute (Colo. Rev. Stat. Ann. § 24-34-402.5), the Colorado Personnel Files Employee Inspection Right Statute (Colo. Rev. Stat. § 8-2-129), the Colorado Labor Peace Act (Colo. Rev. Stat. Ann. §§ 8-3-101 to 8-3-123), the Colorado Labor Relations Act (Colo. Rev. Stat. Ann. §§ 8-2-101 to 8-2-206), the Colorado Equal Pay for Equal Work Act (Colo. Rev. Stat. §§ 8-5-101 et seq.), the Colorado Minimum Wage Order (7 Colo. Code Regs. §§ 1103-1:1 to 1103-1:8), the Colorado Genetic Information Non-Disclosure Act (Colo. Rev. Stat. § 10-3-1104.6), the Colorado Healthy Families and Workplaces Act (Colo. Rev. Stat. §§ 8- 13.3-401 to 8-13.3-418), the Colorado Paid Family and Medical Leave Insurance Act (Colo. Rev. Stat. §§ 8-13.3-501 to 8-13.3-524), and other statutes and the common law of the state of Colorado, all as amended; any claim that any of the Released Parties violated any other federal, state or local statute, law, regulation or ordinance; any public policy, contract, tort or common law claim (including with respect to your Amended and Restated Employment Agreement with an Effective Date of September 16, 2024); any claim of unlawful discrimination, retaliation or discharge of any kind; and any claim for damages or remedies of any sort, including without limitation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compensatory damages, punitive damages, injunctive relief, attorney’s fees, costs, or other expenses incurred in these matters. You specifically acknowledge that, upon your execution of this Agreement, you have been properly paid for all time worked and are unaware of any facts that would support a claim by you against any of the Released Parties for any claim of unpaid wages or overtime or any other violation of the Fair Labor Standards Act and/or applicable state or local wage and hour laws. For the avoidance of doubt, you specifically understand and agree that this general release of claims includes, without limitation, a release of any and all claims for alleged wages due, overtime or other compensation or payment including any claim for treble damages, attorneys’ fees and costs pursuant to the Massachusetts Wage Act and State Overtime Law, M.G.L. c. 149, §§ 148, 150 et seq. and M.G.L. c. 151, §§ 1A et seq., the Colorado Minimum Wage Order, 7 Colo. Code Regs. §§ 1103-1:1 to 1103-1:8, and/or any applicable federal, state or local wage and hour laws. Notwithstanding the foregoing, this release does not include any rights that you cannot lawfully waive, and will not release any rights you have to: (a) defense and indemnification from the Company or its insurers for actions taken by you in the course and scope of your employment with the Company; (b) claims, actions, or rights arising under or to enforce the terms of this Agreement; (c) vested benefits under any retirement or pension plan and/or deferred compensation plan, and (d) any obligation on the part of the Company set forth in this Agreement; (e) any right to indemnification, contribution, advancement of expenses, or similar rights under the Company’s certificate of incorporation, bylaws, any separate indemnification agreement between you and the Company; and (f) any right to coverage under any directors’ and officers’ liability insurance policy maintained by the Company. Furthermore, nothing in the Agreement, including this General Release of Claims, shall affect any claims under the Colorado Employment Security Act (Colo. Rev. Stat. Ann. §§ 8-70-101 to 8-82-105), or the Colorado Wage Payment Act (Colo. Rev. Stat. Ann. §§ 8-4-101 to 8-4-123). 5. Covenant Not to Sue and Non-Interference You affirm that you have not filed nor caused to be filed any claim against any of the Released Parties, nor are you presently a party to any claim against any of the Released Parties. You further agree not to initiate or file, or cause to be initiated or filed, any action, lawsuit, complaint, arbitration proceeding, or other proceeding asserting any of the released claims against any of the Released Parties. You further agree not to affirmatively become a member of any class or collective action in any court or in any arbitration proceeding seeking relief against any of the Released Parties based on claims released by this Agreement, and that even if a court or arbitrator rules that you may not waive a claim released by this Agreement, you will not accept any money damages or other relief. Nothing in this Agreement is intended to or shall interfere with your right to file a charge or participate or cooperate in an investigation or proceeding with the United States Equal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Employment Opportunity Commission (the “EEOC”) or comparable state or local agencies. These agencies have authority to carry out their statutory duties by investigating a charge, issuing a determination, filing a lawsuit, or taking any other action authorized by law. You retain the right to participate in any such action and retain the right to communicate with the EEOC and comparable state or local agencies and such communication shall not be limited by any provision in this Agreement, including without limitation, the non-disparagement, confidentiality and future cooperation provisions herein. Nothing in this Agreement, including without limitation the confidentiality and non-disparagement provisions, limits or affects your right to disclose or discuss any sexual assault dispute or sexual harassment dispute (as those terms are defined in 42 U.S.C. § 19402) that occurs after the Effective Date of this Agreement. Nothing in this Agreement shall be construed to limit your ability, without prior authorization from or notification to the Company, to engage in any activity or conduct protected by Section 7 or any other provision of the National Labor Relations Act, such as by way of examples, from filing an unfair labor practice charge, assisting other employees in doing so, assisting in the investigative process of the National Labor Relations Board, and discussing terms and conditions of employment with others; to report possible violations of federal, state, or local law or regulation to any government agency or entity, including but not limited, to the extent applicable, to the Occupational Safety and Health Administration, the Department of Justice, the Securities and Exchange Commission (the “SEC”), the Congress, and/or any agency Inspector General, or make other disclosures that are protected under the whistleblower provisions of federal, state, or local law or regulation; or to communicate directly with, respond to any inquiry from, or provide testimony before, to the extent applicable, the SEC, the Financial Industry Regulatory Authority, any other self-regulatory organization, or any other federal, state, or local regulatory authority, regarding this Agreement or its underlying facts or circumstances. You also understand and acknowledge that, by signing this Agreement, you have completely waived your right to receive any individual relief, including monetary damages, in connection with any such claim, charge, complaint, investigation, or proceeding covered by this Paragraph, and if you are awarded individual relief and/or monetary damages, you hereby unconditionally assign to the Company, and agree to undertake any and all measures necessary to effectuate such assignment of, any right or interest you may have to receive such individual relief and/or monetary damages. Notwithstanding the foregoing, this Agreement does not limit your right to receive an award for information provided to the SEC or to any other government agency where such a waiver is prohibited. This covenant not to sue does not apply to any claim or action by you to enforce this Agreement or to challenge the knowing and voluntary nature of the release of claims under the ADEA. For the avoidance of doubt, nothing in this Agreement prevents you from discussing or disclosing the underlying facts of any alleged discriminatory or unfair employment practice (1) including disclosing the existence and terms of a settlement agreement, to immediate family members, religious advisors, medical or mental health providers, mental or behavioral health therapeutic support groups, legal counsel, financial advisors, or tax preparers; (2) to any local, state, or federal government agency for any reason, including disclosing the existence and terms of a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agreement, without first notifying the employer; (3) in response to legal process, such as a subpoena to testify at a deposition or in a court, including disclosing the existence and terms of a settlement agreement, without first notifying the employer; and (4) for all other purposes required by law. Permitted disclosures under this Paragraph 5 shall not be considered disparagement under Paragraph 9 of this Agreement. 6. Return of Property You agree that upon written request by the Company you shall return to the Company within ten (10) business days of such request (“Property Return Deadline”), all Company property in your possession or control, including, without limitation and where applicable, computer equipment, office keys (including for the front door and office), access cards, cellphones, other company material and tools, literature including technical, sales and quality control documents, computer disks, tapes and other storage media, credit cards, company vehicle, GPS, files and any documents (including computerized data and any copies made of any computerized data or software) containing information concerning the Company, its business or its business relationships (in the latter two cases, actual or prospective). You also commit to deleting and finally purging any duplicates of files or documents that may contain Company information from any computer or other device that remains your property prior to the Property Return Deadline. For the avoidance of doubt, you specifically agree that you shall delete and finally purge any e-mails, electronic files or any other Company property from your personal cell phone, including without limitation through any email applications (e.g., Outlook) prior to the Property Return Deadline. In the event that you discover that you continue to retain any such property after the Property Return Deadline, you shall return it to the Company immediately. These obligations include, without limitation, the return and destruction of any electronic communications, including text messages on any application whatsoever, including on personal electronic devices between you and any other individual wherein some portion of that communication concerns the Company’s business. You further agree and affirm that all passwords, access codes, login information and other account information for any Company-related account is Company property that you must return to the Company. Other than expenses to be submitted on your final expense reimbursement statement pursuant to Paragraph 1(e), you further represent and warrant that you have not incurred and will not incur any unauthorized credit card charges or other liabilities of any nature for which the Company may be liable. 7. Continuing Obligations You acknowledge that during the term of your employment with the Company, you had access to proprietary information of the Company, including, as defined in your Invention Assignment, Non- Disclosure, and Business Protection Agreement. In the event that you fail to comply with any of your obligations under Section 8 of your Amended and Restated Employment Agreement with an Effective Date of September 16, 2024 (including your obligations under the Invention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Non-Disclosure, and Business Protection Agreement), in addition to any other legal or equitable remedies it may have for such breach, the Company shall have the right to terminate or suspend its payments to you under this Agreement; provided, however, that the Company may not suspend or withhold any payments due to you under this Agreement unless and until: (i) the Company has provided you with written notice specifically identifying the alleged breach in reasonable detail; and (ii) you have failed to cure such breach, to the extent curable, within fifteen (15) business days after receipt of such written notice and (iii) a court of competent jurisdiction or a duly appointed arbitrator has issued a final, non-appealable order or award expressly finding that you have materially breached the identified obligation. During the pendency of any such dispute, the Company shall continue to remit all payments due under this Agreement into an interest-bearing escrow account held by a mutually agreed escrow agent, such funds to be released in accordance with the final determination. The suspension pursuant to a final court or arbitral order of such payments in the event of such breach by you will not affect your continuing obligations under this Agreement. The termination of suspension of such payments will not affect your continuing obligations under this Agreement. Notwithstanding the foregoing, this provision shall not apply to the extent that your breach of this Agreement consists of initiating a legal action in which you contend that the release set forth in the “Release of Claims” section above is invalid, in whole or in part, due to the provisions of 29 U.S.C. § 626(f). Nothing in this Agreement shall impact the applicability and/or enforceability of the terms of the Invention Assignment, Non-Disclosure, and Business Protection Agreement (a copy of which is enclosed) that you entered into during your employment with the Company. Notwithstanding the foregoing, pursuant to 18 U.S.C. § 1833(b),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 Further, you acknowledge that the protection of Company’s Proprietary and Confidential Information, as defined in the Invention Assignment, Non-Disclosure, and Business Protection Agreement, does not include information readily ascertainable to the public, does not arise from your general training, knowledge, skill, or experience, whether gained or the job or otherwise, and information you have a legally protected right to disclose, as described in Paragraphs 4 and 5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8. Confidentiality of Agreement Subject to Paragraphs 4 and 5, and except as otherwise provided in this Agreement and to the extent permitted by law, you acknowledge, represent and agree that you will keep all of the terms and conditions of this Agreement strictly confidential unless otherwise required pursuant to legal process. You represent that you have not disclosed and will not disclose the existence of this Agreement or any of its terms or conditions to anyone other than your attorney, tax or financial advisor, immediate family member, or as may be required pursuant to legal process. You further agree to take reasonable steps to ensure that any information concerning this Agreement which is disclosed to your attorney, tax or financial advisor, or immediate family member will not be disclosed to any other third party, including informing such persons that the terms and conditions of this Agreement are strictly confidential and they may not be discussed. Prohibited statements under this Paragraph include but are not limited to disclosures to the media, public interest groups, and/or through internet postings of any kind (including but not limited to Facebook, Twitter, LinkedIn and other social media sites). The Company agrees to keep the existence and terms of this Agreement strictly confidential and shall not disclose them to any third party other than (i) the Company’s employees, agents, attorneys, accountants, tax advisors and other outside professional advisors who have a need to know; (ii) members of the Company’s Board of Directors and senior management who have a need to know the information; (iii) as may be required pursuant to legal process or by applicable law, regulation, stock exchange rule, or required securities or other public- company disclosure obligations; (iv) as may be relevant to any civil, criminal or administrative investigation, suit, proceeding or other legal matter relating to the Company; and (v) as required to enforce this Agreement. Nothing in this Section limits your right or the Company’s right to acknowledge that your employment with the Company has ended. 9. Nondisparagement Subject to Paragraphs 4 and 5, and except as otherwise provided in this Agreement and to the extent permitted by law, you agree not to make any disparaging statements concerning the Company or any of its current or former officers, directors, shareholders, employees or agents. You further agree not to take any actions or conduct yourself in any way that would reasonably be expected to affect adversely the reputation or goodwill of the Company or any of its current or former officers, directors, shareholders, employees or agents. The Company shall instruct its current executive officers not to make disparaging statements about you to any third party and/or not to take any actions or conduct themselves in any way that would reasonably be expected to adversely affect your reputation. Prohibited statements under this Paragraph include but are not limited to disclosures to the media, public interest groups, and/or through internet postings of any kind (including but not limited to Facebook, Twitter, LinkedIn and other social media sites). Notwithstanding the foregoing, nothing in this Agreement shall prohibit either party from (i) making truthful statements or disclosures that are required by applicable law, regulation or legal process; or (ii) requesting or receiving confidential legal advice.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10. Future Cooperation You agree to make yourself available either in person or by telephone to answer any questions about the work you performed for the Company, such as file locations, status of projects, etc. Your obligation to make yourself available for cooperation under this Paragraph 10 shall not exceed ten (10) hours in any calendar month in the aggregate absent your prior written consent. The Company shall provide you with at least five (5) business days’ advance written notice of any requested cooperation, except in genuine emergency circumstances (defined as an imminent court deadline or discovery obligation that arises without advance notice). Any request for assistance after a period of twelve months beginning the date of this Agreement shall require the Company to pay you on an hourly basis commensurate with your then current consulting rate, unless otherwise agree to by the Parties in writing. You agree to make yourself available at mutually convenient times during and outside of regular business hours as reasonably deemed necessary by the Company or its counsel. The Company shall not utilize this Paragraph to require you to make yourself available to an extent that would unreasonably interfere with full-time employment responsibilities that you may have. Additionally, you agree to cooperate reasonably with the Company (including its outside counsel) in connection with the contemplation, prosecution and defense of all phases of existing, past and future litigation about which the Company believes you may have knowledge or information. You agree to appear without the necessity of a subpoena to testify truthfully in any legal proceedings in which the Company calls you as a witness. Your obligations under this Paragraph 10 shall terminate on the fifth (5th) anniversary of the Separation Date, except with respect to any matter for which you have received written notice or formal legal process prior to such date. If a party other than the Company is seeking your appearance in any legal proceedings, including depositions, you may, in your discretion, insist that such party serve a subpoena upon you. 11. Non-admission of Wrongdoing You and the Company agree that neither this Agreement nor the furnishing of consideration hereunder shall be deemed or construed at any time for any purpose as an admission by either Party of any liability, wrongdoing or unlawful conduct, and the Company expressly denies any such liability, wrongdoing or unlawful conduct. 12. Other Terms You acknowledge and agree that the restrictions contained in Paragraphs 6-7 of this Agreement are reasonable and necessary to protect the business and interests of the Company, including its trade secrets, confidential information and goodwill, do not create any undue hardship for you, and that any violation of the restrictions in this Agreement would cause the Company substantial irreparable injury. Accordingly, you agree that a remedy at law for any breach or threatened breach of the covenants or other obligations in Paragraphs 6-7 of this Agreement would be inadequate and, that the Company, in addition to any other remedies available, shall be entitled to obtain preliminary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and permanent injunctive relief to secure specific performance of such covenants and to prevent a breach or contemplated or threatened breach of Paragraphs 6-7 of this Agreement without the necessity of proving actual damage and without the necessity of posting bond or security, which you expressly waive. Moreover, you will provide the Company a full accounting of all proceeds and profits received by you as a result of or in connection with a breach of Paragraphs 6-7 of this Agreement. Unless prohibited by law, the Company shall have the right to retain any amounts otherwise payable by the Company to you to satisfy any of your obligations as a result of any breach of Paragraphs 6-7 of this Agreement. You hereby agree to indemnify and hold harmless the Company from and against any damages incurred by the Company as assessed by a court of competent jurisdiction as a result of any breach of Paragraphs 6-7 of this Agreement by you. You further agree that if a court issues a temporary restraining order, preliminary injunction, permanent injunction, or issues any other similar order enjoining you from breaching any of the provisions of Paragraphs 6-7 of this Agreement, or if there is any judicial or arbitral determination that you breached any of the provisions of Paragraphs 6-7 of this Agreement, you shall be obligated to promptly reimburse the Company for all reasonable attorneys’ fees and costs it incurred in connection with obtaining such equitable relief and/or order. You agree that each obligation specified in this Agreement is a separate and independent covenant that shall survive any termination of this Agreement and that the unenforceability of any of them shall not preclude the enforcement of any other covenants in this Agreement. This Agreement is a legally binding document, and your signature will commit you to its terms. You acknowledge that you have been advised to discuss all aspects of this Agreement with an attorney, that you have carefully read and fully understand all of the provisions of this Agreement and that you are voluntarily entering into this Agreement. In signing this Agreement, you are not relying upon any promises or representations made by anyone at or on behalf of the Company. If any portion or provision of this Agreement (including, without limitation, any portion or provision of any paragraph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Provided however, if the General Release of Claims Paragraph of this Agreement is found invalid, illegal, and/or unenforceable, you agree to provide the Company and the Released Parties a full and general release of any and all causes of action, lawsuits, proceedings, complaints, charges, debts, contracts, judgments, damages, claims, and attorneys’ fees, whether known or unknown, which you ever had, have, or which you or your heirs, executors, administrators, successors or assigns may have, prior to the date this Agreement is signed by you, due to any matter whatsoever, that is not invalid, illegal and/or unenforceable, without payment of additional consideration. No waiver of any provision of this Agreement shall be effective unless made in writing and signed by the waiving Party. The failure of any Party to require the performance of any term or obligation of this Agreement, or the waiver by any Party of any breach of this Agreement, shall not prevent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subsequent enforcement of such term or obligation or be deemed a waiver of any subsequent breach. This Agreement shall be binding upon and inure to the benefit of both Parties and their respective successors and assigns, including any corporation with which, or into which, the Company may be merged, or which may succeed to the Company’s assets or business, provided, however, that the obligations of you are personal and shall not be assigned by you. 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 The headings and captions used in this Agreement are for convenience of reference only, and shall in no way define, limit, expand or otherwise affect the meaning or construction of any provision of this Agreement, or this Agreement taken as a whole. This Agreement constitutes the entire agreement between you and the Company. This Agreement supersedes any previous agreements or understandings between you and the Company, except as otherwise provided herein; provided, however, that this Agreement shall have no effect whatsoever on your continuing obligations under the Invention Assignment, Non-Disclosure and Business Protection Agreement signed by you. You acknowledge that you have not relied on any representations, promises, or agreements of any kind made to you in connection with your decision to sign this Agreement, except for those set forth in this Agreement. Any action, suit, or other legal proceeding which is commenced to resolve any matter arising under or relating to any provision of this Agreement shall be commenced only in a court of the Commonwealth of Massachusetts (or, if appropriate, a federal court located within Massachusetts), and you and the Company each consent to the exclusive jurisdiction of such a court. EACH PARTY WAIVES ANY RIGHT TO SEEK A JURY TRIAL AND TO CLAIM FOR OR RECOVER ANY PUNITIVE DAMAGES IN ANY PROCEEDING REGARDING ANY DISPUTE THAT MAY ARISE BETWEEN THEM UNDER THIS AGREEMENT. 13. Section 409A Compliance This Agreement is intended to comply with, or be exempt from, Section 409A of the Internal Revenue Code of 1986, as amended (“Section 409A”), and shall be construed and interpreted consistent with that intent. (a) Separation from Service; Installment Payments. For purposes of Section 409A, your right to receive any installment payments pursuant to this Agreement shall be treated as a right to receive a series of separate and distinct payments. A termination of employment shall not be deemed to have occurred for purposes of any provision of this Agreement providing for the payment of any amounts or benefits upon or following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termination of employment unless such termination constitutes a “separation from service” within the meaning of Treasury Regulation Section 1.409A-1(h). (b) Specified Employee Delay. Notwithstanding any other provision of this Agreement, if at the time of your separation from service you are a “specified employee” within the meaning of Section 409A (as determined in good faith by the Company’s Board of Directors in accordance with its specified employee identification policy), then any amounts otherwise payable to you during the six (6)-month period immediately following the Separation Date that constitute “deferred compensation” subject to Section 409A(a)(2)(B)(i) shall not be paid until the first business day following the expiration of such six (6)-month period (or, if earlier, upon your death), at which time all such withheld amounts shall be paid to you in a lump sum without interest. Amounts that are exempt from Section 409A as “short-term deferrals” or under the “separation pay plan” exception (Treasury Regulation Section 1.409A-1(b)(9)(iii)) shall not be subject to this delay. (c) Payment Timing. Whenever a payment under this Agreement specifies a payment period with reference to a number of days, the actual date of payment within such specified period shall be within the sole discretion of the Company; provided that if a payment is required to be made within a specified period, and such period straddles two taxable years, the payment shall be made in the later taxable year. (d) Cooperation. The Company and you agree to cooperate in good faith to restructure or amend any payment or benefit under this Agreement in a manner intended to avoid the imposition of excise taxes or penalties under Section 409A without materially reducing the economic value of such payment or benefit to you. 14. Liens You warrant that to the best of your knowledge, you are not a Medicare beneficiary as of the date of this Agreement, and no conditional payments have been made by Medicare on your behalf. 15. Time for Consideration; Effective Date You have the opportunity to consider this Agreement for twenty-one (21) days from the original date of receipt of this Agreement (the “Consideration Period”) before signing it. To accept this Agreement, you must return a signed copy of this Agreement so that it is received by Pauline Dufresne, Chief People Officer at at or before the expiration of this twenty- one (21) day period. If you sign this Agreement within less than twenty-one (21) days of the date of its original delivery to you, you acknowledge by signing this Agreement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decision was entirely voluntary and that you had the opportunity to consider this Agreement for the entire twenty-one (21) period. Any modifications to this agreement, whether material or immaterial, will not restart the Consideration Period. For the period of seven (7) business days from the date you sign this Agreement, you have the right to revoke this Agreement by written notice to the undersigned. For such a revocation to be effective, it must be delivered so that it is received by the undersigned at or before the expiration of the seven (7) business day revocation period. This Agreement shall become effective on the first business day following the expiration of the revocation period (the “Effective Date”). If you intend to sign the Agreement, you must do so on or after the Separation Date, but no earlier. 16. Counterparts This Agreement may be executed in any number of counterparts, each of which when so executed and delivered shall be taken to be an original, but all of which together shall constitute one and the same document. A scanned or facsimile signature shall be considered an original for all purposes.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bicara.com 116 Huntington Ave. Ste. 703 info@bicara.com Boston, MA 02116 Please indicate your agreement to the terms of this Agreement by signing and returning a copy of this letter within the time period set forth above; please note that this Agreement may not be signed prior to the Separation Date. Very truly yours, BICARA THERAPEUTICS INC. By: __/s/ Claire Mazumdar_______________________________ Claire Mazumdar Chief Executive Officer You are advised to consult with an attorney before signing this Agreement. The foregoing is agreed to and accepted by: __/s/ David Raben__________________________________ David Raben, MD Docusign Envelope ID: 29003869-61D5-8063-83BA-904C3728B0E6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bicara-q210xqexxdr_consu.htm"/>
      <w:bookmarkStart w:id="4" w:name="ksbicaraq210xqexxdr_consu"/>
      <w:bookmarkEnd w:id="3"/>
      <w:bookmarkEnd w:id="4"/>
      <w:r>
        <w:rPr/>
        <w:drawing>
          <wp:inline distT="0" distB="0" distL="0" distR="0">
            <wp:extent cx="10048875" cy="13001625"/>
            <wp:effectExtent l="0" t="0" r="0" b="0"/>
            <wp:docPr id="1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8"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#480369v9 CONSULTING AGREEMENT THIS CONSULTING AGREEMENT (together with each attached Exhibit A (each a “Business Terms Exhibit”) and Exhibit B (the “EU Data Privacy Exhibit”), the “Agreement”), is made as of the date of last signature (the “Effective Date”) by and between Bicara Therapeutics Inc., a Delaware corporation with a principal business address at 116 Huntington Ave., Suite 703, Boston, MA 02116 (“Bicara”), and David Raben, MD with an address at 5558 S. Hillside Street Greenwood, CO 80111 (“Consultant”). Bicara desires to have the benefit of Consultant’s knowledge and experience, and Consultant desires to provide services to Bicara, all as provided in this Agreement. 1. Services. Bicara retains Consultant, and Consultant agrees to provide consulting and advisory services to Bicara as Bicara may from time-to-time reasonably request and as specified in each Business Terms Exhibit (the “Consulting Services”). Any changes to the Consulting Services (and any related compensation adjustments) must be agreed to in writing between Consultant and Bicara prior to implementation of the changes. Bicara acknowledges that Consultant’s services are non- exclusive and that Consultant is engaged in other professional activities. 2. Compensation. As full consideration for Consulting Services provided under this Agreement, Bicara agrees to pay Consultant and reimburse expenses as described in each Business Terms Exhibit. Bicara shall reimburse Consultant for all reasonable, and pre-approved out-of-pocket expenses incurred in connection with the Consulting Services, including without limitation, travel, lodging, and meals, within thirty (30) days from the Company’s receipt of any supporting documentation. Bicara shall pay all undisputed invoices for expenses submitted by Consultant within thirty (30) days of receipt. If Bicara disputes any portion of an invoice, Bicara shall (a) pay the undisputed portion within the thirty (30) day period, and (b) provide Consultant with written notice specifically identifying the disputed amount and the basis for the dispute within the same 30-day period. 3. Performance. Consultant agrees to provide the Consulting Services to Bicara, or to its designee, in accordance with all applicable laws and regulations and the highest professional standards. Consultant represents and warrants that Consultant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 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 Consultant agrees to notify Bicara within five (5) business days if any of the foregoing representations become inaccurate during the Term. Bicara represents and warrants that it will not request or direct Consultant to perform any Consulting Services that would require Consultant to violate applicable law or Consultant’s professional or ethical obligations. 4. Compliance with Obligations to Third Parties. Consultant represents and warrants to Bicara that the terms of this Agreement and Consultant’s performance of Consulting Services do not and will not conflict with any of Consultant’s obligations to any third parties. Consultant agrees not to use any trade secrets or other confidential information of any other person, firm, corporation, institution or other third party in connection with any of the Consulting Services. If Consultant is an employee of another company or institution, Consultant represents and warrants that Consultant is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9"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to enter into this Agreement pursuant to such company’s or institution’s policies concerning professional consulting and additional workload. Consultant agrees not to make any use of any funds, space, personnel, facilities, equipment or other resources of a third party in performing the Consulting Services, nor take any other action that would result in a third party asserting ownership of, or other rights in, any Work Product (defined in Section 5), unless agreed upon in writing in advance by Bicara. 5. Work Product. Consultant will promptly and fully disclose in confidence to Bicara all inventions, discoveries, improvements, ideas, concepts, designs, processes, formulations, products, computer programs, works of authorship, databases, mask works, trade secrets, know-how, information, data, documentation, reports, research, creations and other products arising from or made in the performance of (solely or jointly with others) the Consulting Services (whether or not patentable or subject to copyright or trade secret protection) ), but expressly excluding Background IP and any intellectual property developed by Consultant entirely independently of and without use of the Consulting Services or Bicara’s Confidential Information (collectively, the “Work Product”). Consultant assigns and agrees to assign to Bicara all rights in the United States and throughout the world to Work Product. Consultant will keep and maintain adequate and current written records of all Work Product, and such records will be available to and remain the sole property of Bicara at all times. For purposes of the copyright laws of the United States, Work Product will constitute “works made for hire,” except to the extent such Work Product cannot by law be “works made for hire”. Consultant represents and warrants that Consultant has and will have the right to transfer and assign to Bicara ownership of all Work Product. Consultant will execute all documents, and take any and all actions needed, all without further consideration, in order to confirm Bicara’s rights as outlined above. In the event that Consultant should fail or refuse to execute such documents within a reasonable time, Consultant appoints Bicara as attorney to execute and deliver any such documents on Consultant’s behalf. Bicara shall provide Consultant with written notice and a fifteen (15) business day cure period before exercising any remedy under this Agreement with respect to such failure. 6. Confidentiality; Data Security. 6.1 Definition. “Confidential Information” means (a) any non-public scientific, technical, business or financial information or trade secrets in whatever form (written, oral or visual) that is furnished or made available to Consultant by or on behalf of Bicara; (b) all information contained in or comprised of Bicara Materials (defined in Section 7); and (c) all Work Product. Confidential Information is, and will remain, the sole property of Bicara. 6.2 Obligations. During the Term (as defined in Section 9) and for a period of five (5) years thereafter, Consultant agrees to (a) hold in confidence all Confidential Information, and not disclose Confidential Information without the prior written consent of Bicara; (b) use Confidential Information solely in connection with the Consulting Services; (c) treat Confidential Information with no less than a reasonable degree of care, and in no event less than the same degree of care Consultant uses to protect Consultant’s own confidential information of a similar nature; (d) reproduce Confidential Information solely to the extent necessary to provide the Consulting Services, with all such reproductions being considered Confidential Information; and (e) notify Bicara of any unauthorized disclosure of Confidential Information promptly upon becoming aware of such disclosure. Notwithstanding the foregoing, the non-disclosure and non-use obligations imposed by this Agreement with respect to trade secrets included in the Confidential Information will continue for as long as Bicara continues to treat such Confidential Information as a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0"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secret. If Consultant is required by a governmental authority or by order of a court of competent jurisdiction to disclose any Confidential Information, Consultant will give Bicara prompt written notice thereof and Consultant will take all reasonable and lawful actions to avoid or minimize the degree of such disclosure. Consultant will cooperate reasonably with Bicara in any efforts to seek a protective order. 6.3 Exceptions. Consultant’s obligations of non-disclosure and non-use under this Agreement will not apply to any portion of Confidential Information that Consultant can demonstrate, by competent proof: (a) is generally known to the public at the time of disclosure or becomes generally known through no wrongful act on the part of Consultant; (b) is in Consultant’s possession at the time of disclosure other than as a result of Consultant’s breach of any legal obligation; (c) becomes known to Consultant on a non-confidential basis through disclosure by sources other than Bicara having the legal right to disclose such Confidential Information; (d) is independently developed by Consultant without reference to or reliance upon Confidential Information; or (e) to the extent Consultant is required by law to disclose such Confidential Information. 6.4 Defend Trade Secrets Act. Bicara provides notice to Consultant that pursuant to the United States Defend Trade Secrets Act of 2016: (a) An individual will not be held criminally or civilly liable under any United States federal or state trade secret law for the disclosure of a trade secret that is made (i) in confidence to a federal, state, or local government official or to an attorney, and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 In addition, this Agreement does not prohibit Consultant from participating in or cooperating with any government investigation or proceeding, nor does this Agreement restrict Consultant from disclosing Confidential Information to government agencies in a reasonable manner when permitted by applicable state or federal “whistleblower” or other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1"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6.5 Personal Identifiable Information. (a) In General. Notwithstanding anything to the contrary in this Section 6, to the extent that Consultant may, during or as a result of rendering Consulting Services, have access to any information that could be used to identify an individual (“Personal Identifiable Information”), (i) Consultant will not disclose to any third party nor use such Personal Identifiable Information other than to provide the Consulting Services and as long as such disclosure and use is in compliance with applicable law; and (ii) such restrictions on the disclosure and use of Personal Identifiable Information will remain in place for as long as such restrictions are required under applicable law. (b) EU Data Protection. Without limiting the generality of Section 6.5(a), to the extent Consultant may, during or as a result of rendering Consulting Services, have access to European Union-originating Personal Data, as that term is defined in the General Data Protection Regulation (EU) 2016/679 (the “GDPR”), the terms set forth in the EU Data Privacy Exhibit will apply in addition to the other terms and conditions of this Agreement. 6.6 MNPI. Consultant acknowledges that certain Confidential Information disclosed to Consultant, or of which Consultant otherwise becomes aware of, may be or be deemed to be “material non-public information” (“MNPI”) within the meaning of the federal or state securities laws. Consultant (on behalf of itself and any of its affiliates) agrees to abide by all securities and related laws, rules and regulations in connection with providing the Consulting Services including, without limitation, those laws, rules and regulations relating to the receipt, handling and use of MNPI. Consultant (on behalf of itself and its affiliates) agrees that it will not buy or sell common stock or other securities (including, but not limited to, derivatives and options) of Company on the basis of MNPI regarding Company or otherwise. 6.7 Restriction on AI Usage. Without limiting the generality of this Section 6, Consultant shall not use any artificial intelligence, machine learning, or similar program or tool to (a) perform the Consulting Services or (b) process any personal information of Bicara personnel or Bicara Confidential Information. 7. Bicara Materials. All documents, data, records, materials, compounds, apparatus, equipment and other physical property furnished or made available by or on behalf of Bicara to Consultant in connection with this Agreement (“Bicara Materials”) are and will remain the sole property of Bicara. Consultant will use Bicara Materials only as necessary to perform the Consulting Services and will not transfer or make available to any third party the Bicara Materials without the express prior written consent of Bicara. Consultant will return to Bicara any and all Bicara Materials upon request. 8. Publication; Publicity. Consultant may not publish or refer to Work Product, in whole or in part, without the prior express written consent of Bicara. Consultant will not use the name, logo, trade name, service mark, or trademark, or any simulation, abbreviation, or adaptation of same, or the name of Bicara or any of its affiliates for publicity, promotion, or other uses without Bicara’s prior written consent. 9. Expiration/Termination. The term of this Agreement will commence on the Effective Date and continue for the duration of Consulting Services pursuant to any Business Terms Exhibit, unless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sooner terminated pursuant to the provisions of this Section 9 or extended by mutual written agreement of the parties (the “Term”). Bicara may only terminate this Agreement for material cause. Consultant may terminate this Agreement and/or any Business Terms Exhibit at any time with or without cause upon not less than thirty (30) days’ prior written notice to Bicara. Any expiration or termination of this Agreement shall be without prejudice to any obligation of either party that has accrued prior to the effective date of expiration or termination. Upon expiration or termination of this Agreement, neither Consultant nor Bicara will have any further obligations under this Agreement, except that (a) Consultant will terminate all Consulting Services in progress in an orderly manner as soon as practicable and in accordance with a schedule agreed to by Bicara, unless Bicara specifies in the notice of termination that Consulting Services in progress should be completed; (b) Consultant will deliver to Bicara all Work Product made through expiration or termination; (c) Bicara will pay Consultant any monies due and owing Consultant, up to the time of termination or expiration, for Consulting Services properly performed and all authorized expenses actually incurred; (d) Consultant will immediately return to Bicara all Bicara Materials and other Confidential Information and copies thereof provided to Consultant under this Agreement; and (e) the terms, conditions and obligations under Sections 3 (last sentence), 4, 5, 6, 7, 8, 9, and 12 and the EU Data Privacy Exhibit will survive expiration or termination of this Agreement. 10. Non-Competition. In further consideration for the obligations set forth in this Agreement, and in acknowledgment that during the course of Consulting Services with Bicara Consultant may have access to and learn about Bicara’s Trade Secrets, as defined below, Consultant agrees as follows: 10.1 During the Term (as defined in Section 9) (the “Restricted Period”), Consultant agrees that Consultant will not, directly or indirectly, whether as owner, partner, shareholder, director, consultant, agent, broker, employee, co-venturer, investor or otherwise, engage, participate, assist or invest in or plan to assist or invest in or work for or provide services to any Competing Business, wherever located. “Competing Business” shall mean any person, entity or organization engaged in, or anticipated to become engaged in, research on or the acquisition, development, production, distribution, marketing, or providing of a product, process or service that competes or is reasonably expected to compete with a material product, process or service in existence or being developed or anticipated to be developed by Bicara related to the treatment of head and/or neck cancer. Consultant agrees and acknowledges that during the course of the Consulting Services, Consultant may provide services or have a nationwide material presence or influence on behalf of Bicara. As such, the restrictions set forth in this Section apply to Competing Businesses anywhere in the United States. Notwithstanding the foregoing, Consultant may own up to one percent (1%) of the outstanding stock of a publicly held corporation that constitutes or is affiliated with a Competing Business. Any waiver of Bicara’s rights under Section 10.1 of this Agreement shall not, in any way, diminish, waive or otherwise prevent enforcement of Bicara’s rights under any of the other terms of this Agreement or any other post- employment obligation of Consultant’s. 10.2 Consultant acknowledges and agrees that the restrictions contained in Sections 6-7 and 10 of this Agreement are reasonable and necessary to protect the business and interests of the Company, including its trade secrets, confidential information and goodwill, do not create any undue hardship for Consultant, and that any violation of the restrictions in this Agreement would cause the Company substantial irreparable injury. Accordingly, Consultant agrees that a remedy at law for any breach or threatened breach of the covenants or other obligations in Sections 6-7 or 10 of this Agreement would be inadequate and, that the Company, in addition to any other remedies available, shall be entitled to obtain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preliminary and permanent injunctive relief to secure specific performance of such covenants and to prevent a breach or contemplated or threatened breach of Sections 6-7 or 10 of this Agreement without the necessity of proving actual damage and without the necessity of posting bond or security, which Consultant expressly waives. Moreover, Consultant will provide the Company a full accounting of all proceeds and profits received by Consultant as a result of or in connection with a breach of Sections 6-7 or 10 of this Agreement. The Company may not withhold or retain any amounts otherwise payable to Consultant unless and until: (i) the Company has provided Consultant with written notice specifically identifying the alleged breach; (ii) Consultant has failed to cure such breach, to the extent curable, within fifteen (15) business days after receipt of such notice; and (iii) a court of competent jurisdiction has issued a final, non-appealable order finding that Consultant has materially breached the identified obligation. Consultant further agrees that if a court issues a temporary restraining order, preliminary injunction, permanent injunction, or issues any other similar order enjoining Consultant from breaching any of the provisions of Sections 6-7 or 10 of this Agreement, or if there is any judicial or arbitral determination that Consultant breached any of the provisions of Sections 6-7 or 10 of this Agreement, Consultant shall be obligated to promptly reimburse the Company for all reasonable attorneys’ fees and costs it incurred in connection with obtaining such equitable relief and/or order. Consultant agrees that each obligation specified in this Agreement is a separate and independent covenant that shall survive any termination of this Agreement and that the unenforceability of any of them shall not preclude the enforcement of any other covenants in this Agreement. For purposes of this Agreement, “Trade Secrets”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pending negotiations, know-how, computer programs, computer software, applications, operating systems, software design, web design, work-in-process, technologies, databases, compilations, device configurations, embedded data, metadata, manuals, records, articles, systems, material, sources of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models, ideas,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Bicara or its businesses or any existing or prospective customer, supplier, investor, or other associated third party, or of any other person or entity that has entrusted information to Consultant in confidence. Consultant understands that the above list is not exhaustive, and that Trade Secrets also includes other information that is marked or otherwise identified or treated as confidential or proprietary, or that would otherwise appear to a reasonable person to be confidential or proprietary in the context and circumstances in which the information is known or used. Trade Secrets shall not include information that is generally available to and known by the public at the time of disclosure to Consultant, provided that the disclosure is through no direct or indirect fault of Consultant’s or person(s) acting on Consultant’s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11. Mutual Indemnification; Limitation of Liability. 11.1 Indemnification by Bicara. Bicara shall indemnify, defend, and hold harmless Consultant from and against any third-party claims, actions, damages, liabilities, losses, costs, and expenses (including reasonable attorneys’ fees) arising out of or relating to: (i) Bicara’s material breach of this Agreement; (ii) Bicara’s gross negligence, willful misconduct, or violation of applicable law; (iii) any claim that the Consulting Services, as directed by Bicara, infringe the intellectual property rights of any third party; or (iv) Consultant’s use of Bicara Materials in accordance with this Agreement; except in each case to the extent caused by Consultant’s own negligence, willful misconduct, or breach of this Agreement. 11.2 Indemnification by Consultant. Consultant shall indemnify, defend, and hold harmless Bicara from and against any third-party claims, actions, damages, liabilities, losses, costs, and expenses (including reasonable attorneys’ fees) arising out of or relating to: (i) Consultant’s material breach of this Agreement; (ii) Consultant’s gross negligence or willful misconduct in connection with the Consulting Services; or (iii) any claim that the Consulting Services provided by Consultant infringe the intellectual property rights of a third party. 11.3 LIMITATION OF LIABILITY. LIMITATION OF LIABILITY. TO THE MAXIMUM EXTENT PERMITTED BY APPLICABLE LAW, IN NO EVENT SHALL EITHER PARTY BE LIABLE TO THE OTHER PARTY FOR ANY LOST PROFITS OR LOST BUSINESS OR FOR ANY CONSEQUENTIAL, INCIDENTAL, SPECIAL OR INDIRECT DAMAGES OF ANY KIND, WHETHER ARISING IN CONTRACT, TORT OR OTHERWISE, AND REGARDLESS OF WHETHER SUCH PARTY HAS BEEN NOTIFIED OF THE POSSIBILITY OF SUCH DAMAGES. TO THE MAXIMUM EXTENT PERMITTED BY APPLICABLE LAW, CONSULTANT’S MAXIMUM AGGREGATE LIABILITY FOR ANY CLAIM RELATING TO THIS AGREEMENT (EXCLUDING ANY CLAIMS FOR SERVICES BY CONSULTANT UNDER THIS AGREEMENT, OR ANY CLAIMS FOR CONSULTANT’S BREACH OF CONFIDENTIALITY OR INFRINGEMENT, MISAPPROPRIATION, OR OTHER VIOLATION OF ANY INTELLECTUAL PROPERTY RIGHTS OF COMPANY OR THIRD PARTY) SHALL NOT EXCEED THE AMOUNTS PAID BY CONSULTANT HEREUNDER DURING THE THREE (3) MONTHS PRECEDING SUCH CLAIM. EACH PARTY ACKNOWLEDGES AND AGREES THAT THE FOREGOING LIMITATIONS OF LIABILITY ARE AN ESSENTIAL ELEMENT OF THIS AGREEMENT BETWEEN THE PARTIES AND THAT IN THEIR ABSENCE THE ECONOMIC TERMS OF THIS AGREEMENT WOULD BE SUBSTANTIALLY DIFFERENT. 12. Miscellaneous. 12.1 Independent Contractor. The parties understand and agree that Consultant is an independent contractor and not an agent or employee of Bicara. Consultant has no authority to obligate Bicara by contract or otherwise. Consultant will not be eligible for any employee benefits of Bicara and expressly waives any rights to any employee benefits. Except as otherwise required by law, Consultant will bear sole responsibility for paying and reporting Consultant’s own applicable federal and state income taxes, social security taxes, unemployment insurance, workers’ compensation, and health or disability insurance, retirement benefits, and other welfare or pension benefits,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5"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any, and indemnifies and holds Bicara harmless from and against any liability with respect to such taxes, benefits and other matters. Consultant agrees that Bicara shall not provide Consultant with any training or tools, and will not dictate Consultant’s time of performance, except the parties may agree to mutually agreeable work hours. 12.2 Non-exclusivity. Except as provided by, and subject to the restrictions in Paragraph 10, Consultant’s services to Bicara are non-exclusive and Consultant is otherwise free to provide services to others. 12.3 Use of Name. Consultant consents to the use by Bicara of Consultant’s name on its website, in press releases, company brochures, offering documents, presentations, reports or other documents in printed or electronic form, and any documents filed with or submitted to any governmental or regulatory agency or any securities exchange or listing entity; provided, that such materials or presentations accurately describe the nature of Consultant’s relationship with or contribution to Bicara. 12.4 Entire Agreement. This Agreement contains the entire agreement of the parties with regard to its subject matter, and supersedes all prior or contemporaneous written or oral representations, agreements and understandings between the parties relating to that subject matter. This Agreement may be changed only by a writing signed by Consultant and an authorized representative of Bicara. 12.5 Certain Disclosures and Transparency. Consultant acknowledges that Bicara and its affiliates are required to abide by federal and state disclosure laws and certain transparency policies governing their activities including providing reports to the government and to the public concerning financial or other relationships with healthcare providers. Consultant agrees that Bicara and its affiliates may, in their sole discretion, disclose information about this Agreement and about Consultant’s Consulting Services including those relating to healthcare providers and any compensation paid to healthcare providers pursuant to this Agreement. Consultant agrees to promptly supply information reasonably requested by Bicara for disclosure purposes. To the extent that Consultant is independently obligated to disclose specific information concerning the Consulting Services relating to healthcare providers and compensation paid to healthcare providers pursuant to this Agreement, Consultant will make timely and accurate required disclosures. 12.6 Assignment and Binding Effect. The Consulting Services to be provided by Consultant are personal in nature. Consultant may not assign or transfer this Agreement or assign, transfer or subcontract any of Consultant’s rights or obligations under this Agreement. Bicara may transfer or assign this Agreement, in whole or in part, without the prior written consent of Consultant. Any purported assignment or transfer in violation of this Section is void. This Agreement will be binding upon and inure to the benefit of the parties and their respective legal representatives, heirs, successors and permitted assigns. 12.7 Notices.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Bicara will be marked “Attention: CEO”. All notices must be given (a) by personal delivery, with receipt acknowledged; (b) by prepaid certified or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6"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mail, return receipt requested; or (c) by prepaid recognized next business day delivery service. Notices will be effective upon receipt or at a later date stated in the notice. 12.8 Governing Law. This Agreement and any disputes relating to or arising out of this Agreement will be governed by, construed, and interpreted in accordance with the internal laws of the State of Colorado, without regard to any choice of law principle that would require the application of the law of another jurisdiction. 12.9 Severability; Reformation. Each provision in this Agreement is independent and severable from the others, and no provision will be rendered unenforceable because any other provision is found by a proper authority to be invalid or unenforceable in whole or in part. If any provision of this Agreement is found by such an authority to be invalid or unenforceable in whole or in part, such provision shall be changed and interpreted so as to best accomplish the objectives of such unenforceable or invalid provision and the intent of the parties, within the limits of applicable law. 12.10 No Strict Construction; Headings. This Agreement has been prepared jointly and will not be strictly construed against either party. The Section headings are included solely for convenience of reference and will not control or affect the meaning or interpretation of any of the provisions of this Agreement. 12.11 Waivers. Any delay in enforcing a party’s rights under this Agreement, or any waiver as to a particular default or other matter, will not constitute a waiver of such party’s rights to the future enforcement of its rights under this Agreement, except with respect to an express written waiver relating to a particular matter for a particular period of time signed by Consultant and an authorized representative of the waiving party, as applicable. 12.12 Remedies. Consultant agrees that (a) Bicara may be irreparably injured by a breach of this Agreement by Consultant; (b) money damages would not be an adequate remedy for any such breach; (c) as a remedy for any such breach Bicara will be entitled to seek equitable relief, including injunctive relief and specific performance, without being required by Consultant to post a bond; and (d) such remedy will not be the exclusive remedy for any breach of this Agreement. 12.13 Counterparts. This Agreement may be executed in any number of counterparts, each of which will be deemed an original, but all of which together will constitute one and the same instrument. A facsimile or portable document format (“.pdf”) copy of this Agreement, including the signature pages, will be deemed an original.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7"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IN WITNESS WHEREOF, the parties have executed this Agreement as of the Effective Date. BICARA THERAPEUTICS, INC. By: /s/ Claire Mazumdar Name: Claire Mazumdar Title: Chief Executive Officer Date: _________________________________ CONSULTANT Date: __________________________________ Docusign Envelope ID: 29003869-61D5-8063-83BA-904C3728B0E6 5/7/2026 5/7/2026 /s/ David Raben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8"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EXHIBIT A - 1 BUSINESS TERMS EXHIBIT 1. Consulting Services: During the term of this Agreement, Consultant will serve as a Senior Executive Advisor and provide the following Consulting Services to Bicara, at the sole direction and discretion of the Company’s Chief Medical Officer (“CMO”): • Advisory support for patient eligibility and medical scan evaluations to support enrollment in Bicara's FORTIFI trial. • Strategic preparation and advisory support for Clinical Development Advisory Boards. • Lifecycle management strategy for the Ficera development program, including HNSCC and other potential indications. For the avoidance of doubt, Consulting Services shall be limited to the scope described above. Notwithstanding the foregoing and at the sole discretion of Bicara's CMO, the Consultant may be asked to provide ad hoc advisory support as needed. Consulting Services will be provided starting on the Effective Date. Consultant will provide Consulting Services on a schedule and at the location or locations indicated above or as otherwise mutually agreed between the Consultant and the Chief Medical Officer. In addition, Consultant will be available for a reasonable number of telephone and/or written consultations. 2. Compensation: Fees: Bicara will pay Consultant for the Consulting Services a monthly retainer fee of $8,000 (which equates to 10 hours/month) (“Monthly Fee”) for the Term. Partial months shall be prorated. The parties acknowledge that the Monthly Fee is based on an initial scope of services. The parties agree to review the Monthly Fee on a periodic basis to determine whether increases may be appropriate. Any modifications to the Monthly Fee shall be mutually agreed to in a signed amendment to the Agreement. Expenses: Bicara will reimburse Consultant for any pre-approved expenses actually incurred by Consultant in connection with the provision of Consulting Services. Requests for reimbursement will be in a form reasonably acceptable to Bicara, will include supporting documentation and will accompany Consultant’s invoices. Invoicing: Consultant shall not be required to invoice other than for expenses incurred during the preceding month. No later than the last day of each calendar month, Consultant will invoice Bicara for any related expenses incurred during the preceding month. Invoices should reference this Agreement and PO Number provided at execution and should be submitted to Bicara to the attention of: . Invoices will contain such detail as Bicara may reasonably require and will be payable in U.S. Dollars. Undisputed payments will be made by Bicara within thirty (30) days after Bicara’s receipt of Consultant’s invoice, request for reimbursement and all supporting documentation. Docusign Envelope ID: 29003869-61D5-8063-83BA-904C3728B0E6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3. Duration of Consulting Services: The Consulting Services pursuant to this Business Terms Exhibit are expected to be performed from May 7, 2026 to December 31, 2026. The Agreement may be further extended upon mutual written agreement of the parties 4. Bicara Contact Information: 116 Huntington Ave., Suite 703 Boston, MA 02116 5. Consultant Contact Information: David Raben Address: Email: Docusign Envelope ID: 29003869-61D5-8063-83BA-904C3728B0E6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#480369v9 EXHIBIT B EU DATA PRIVACY EXHIBIT DATA PROCESSING TERMS For purposes of this EU Data Privacy Exhibit, capitalized terms used but not defined in this Exhibit will have the meaning ascribed to them in the GDPR. Bicara will serve as the Controller and Consultant will serve as Bicara’s Processor in respect of all Personal Data made available to Consultant in connection with the provision of the Consulting Services under this Agreement. As a Processor of any such Personal Data, Consultant will: (a) Process Personal Data solely for the purposes of providing the Consulting Services and in accordance with Bicara’s written instructions and not for any other purpose or in any other manner; (b) not disclose or transfer Personal Data to any third party without Bicara’s prior written consent, except as permitted under this Agreement; (c) use diligent efforts to promptly (i) investigate and remediate any Personal Data Breach by Consultant to prevent a recurrence of such breach; (ii) respond to any request for information from or complaint by a data protection authority/Supervisory Authority in relation to Personal Data that Consultant Processes for the purpose of providing the Consulting Services; and (iii) respond to any request made to Consultant by a Data Subject to exercise rights such as to access, rectify, amend, correct, share, delete or cease Processing his or her Personal Data; (d) retain Personal Data for the longer of the time period necessary to perform the Processing Services or as required by applicable law; (e) allow Bicara or its designee to audit compliance with this EU Data Privacy Exhibit with advance notice and during normal business hours; and (f) ensure that transfers of Personal Data outside of the European Economic Area are made only in accordance with EU or Member State law and pursuant to a framework deemed adequate and approved by the European Commission. Docusign Envelope ID: 29003869-61D5-8063-83BA-904C3728B0E6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Claire Mazumdar, Ph.D.,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Bicara Therapeutics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617" w:type="dxa"/>
        <w:jc w:val="left"/>
        <w:tblInd w:w="0" w:type="dxa"/>
        <w:tblLayout w:type="fixed"/>
        <w:tblCellMar>
          <w:top w:w="28" w:type="dxa"/>
          <w:left w:w="28" w:type="dxa"/>
          <w:bottom w:w="28" w:type="dxa"/>
          <w:right w:w="28" w:type="dxa"/>
        </w:tblCellMar>
      </w:tblPr>
      <w:tblGrid>
        <w:gridCol w:w="628"/>
        <w:gridCol w:w="554"/>
        <w:gridCol w:w="558"/>
        <w:gridCol w:w="109"/>
        <w:gridCol w:w="109"/>
        <w:gridCol w:w="109"/>
        <w:gridCol w:w="120"/>
        <w:gridCol w:w="120"/>
        <w:gridCol w:w="120"/>
        <w:gridCol w:w="641"/>
        <w:gridCol w:w="641"/>
        <w:gridCol w:w="908"/>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Claire Mazumdar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Mazumdar,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Ivan Hyep,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Bicara Therapeutics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741" w:type="dxa"/>
        <w:jc w:val="left"/>
        <w:tblInd w:w="0" w:type="dxa"/>
        <w:tblLayout w:type="fixed"/>
        <w:tblCellMar>
          <w:top w:w="28" w:type="dxa"/>
          <w:left w:w="28" w:type="dxa"/>
          <w:bottom w:w="28" w:type="dxa"/>
          <w:right w:w="28" w:type="dxa"/>
        </w:tblCellMar>
      </w:tblPr>
      <w:tblGrid>
        <w:gridCol w:w="628"/>
        <w:gridCol w:w="554"/>
        <w:gridCol w:w="558"/>
        <w:gridCol w:w="109"/>
        <w:gridCol w:w="109"/>
        <w:gridCol w:w="109"/>
        <w:gridCol w:w="120"/>
        <w:gridCol w:w="120"/>
        <w:gridCol w:w="120"/>
        <w:gridCol w:w="967"/>
        <w:gridCol w:w="967"/>
        <w:gridCol w:w="1380"/>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Ivan Hyep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Ivan Hyep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 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on Form 10-Q of Bicara Therapeutics Inc. (the “Company”) for the period ended June 30, 2026 as filed with the Securities and Exchange Commission on the date hereof (the “Report”), each of the undersigned officers of the Company hereby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Section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41" w:type="dxa"/>
        <w:jc w:val="left"/>
        <w:tblInd w:w="0" w:type="dxa"/>
        <w:tblLayout w:type="fixed"/>
        <w:tblCellMar>
          <w:top w:w="28" w:type="dxa"/>
          <w:left w:w="28" w:type="dxa"/>
          <w:bottom w:w="28" w:type="dxa"/>
          <w:right w:w="28" w:type="dxa"/>
        </w:tblCellMar>
      </w:tblPr>
      <w:tblGrid>
        <w:gridCol w:w="628"/>
        <w:gridCol w:w="554"/>
        <w:gridCol w:w="558"/>
        <w:gridCol w:w="109"/>
        <w:gridCol w:w="109"/>
        <w:gridCol w:w="109"/>
        <w:gridCol w:w="120"/>
        <w:gridCol w:w="120"/>
        <w:gridCol w:w="120"/>
        <w:gridCol w:w="970"/>
        <w:gridCol w:w="970"/>
        <w:gridCol w:w="137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Claire Mazumdar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Mazumdar,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Ivan Hyep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Ivan Hyep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23658/000119312524219617/d844648dex31.htm" TargetMode="External"/><Relationship Id="rId4" Type="http://schemas.openxmlformats.org/officeDocument/2006/relationships/hyperlink" Target="https://www.sec.gov/Archives/edgar/data/2023658/000119312524219617/d844648dex32.htm" TargetMode="External"/><Relationship Id="rId5" Type="http://schemas.openxmlformats.org/officeDocument/2006/relationships/hyperlink" Target="https://www.sec.gov/Archives/edgar/data/2023658/000119312524214674/d821336dex41.htm" TargetMode="External"/><Relationship Id="rId6" Type="http://schemas.openxmlformats.org/officeDocument/2006/relationships/hyperlink" Target="https://www.sec.gov/Archives/edgar/data/2023658/000119312524205393/d821336dex42.htm" TargetMode="External"/><Relationship Id="rId7" Type="http://schemas.openxmlformats.org/officeDocument/2006/relationships/hyperlink" Target="https://www.sec.gov/Archives/edgar/data/2023658/000119312526076560/d938194dex41.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90031</Words>
  <Characters>502124</Characters>
  <CharactersWithSpaces>590649</CharactersWithSpaces>
  <Paragraphs>2711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bicara-q210xqexxdr_consu</dc:title>
</cp:coreProperties>
</file>