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5959.xml.htm"/>
      <w:bookmarkStart w:id="1" w:name="kswkform4_17865659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Hyep Ivan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BICARA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 HUNTINGTON AVENUE, SUITE 703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Bicara Therapeutics Inc.</w:t>
              </w:r>
            </w:hyperlink>
            <w:r>
              <w:rPr/>
              <w:t xml:space="preserve"> [ </w:t>
            </w:r>
            <w:r>
              <w:rPr>
                <w:rFonts w:ascii="Times;serif" w:hAnsi="Times;serif"/>
                <w:color w:val="0000FF"/>
                <w:sz w:val="24"/>
                <w:shd w:fill="FFFFFF" w:val="clear"/>
              </w:rPr>
              <w:t>BCAX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3.7898</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142,355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27.9673</w:t>
            </w:r>
            <w:r>
              <w:rPr>
                <w:rFonts w:ascii="Times;serif" w:hAnsi="Times;serif"/>
                <w:color w:val="008000"/>
                <w:position w:val="7"/>
                <w:sz w:val="16"/>
                <w:sz w:val="20"/>
                <w:shd w:fill="FFFFFF" w:val="clear"/>
              </w:rPr>
              <w:t>(2)</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129,855</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3.7898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26,336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on March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$27.675 to $28.185,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underlying this option vest in sixteen equal quarterly installments following April 5, 2023, subject to the Reporting Person's continued service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Cohlhepp,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4668" TargetMode="External"/><Relationship Id="rId5" Type="http://schemas.openxmlformats.org/officeDocument/2006/relationships/hyperlink" Target="http://www.sec.gov/cgi-bin/browse-edgar?action=getcompany&amp;CIK=0002023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709</Words>
  <Characters>3863</Characters>
  <CharactersWithSpaces>4481</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